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426"/>
        <w:gridCol w:w="5209"/>
      </w:tblGrid>
      <w:tr w:rsidR="00405832" w14:paraId="321F378B" w14:textId="77777777" w:rsidTr="009167E8">
        <w:trPr>
          <w:trHeight w:val="1008"/>
        </w:trPr>
        <w:tc>
          <w:tcPr>
            <w:tcW w:w="2835" w:type="dxa"/>
            <w:vAlign w:val="center"/>
          </w:tcPr>
          <w:p w14:paraId="7D9C5B02" w14:textId="03C5CFC3" w:rsidR="00405832" w:rsidRPr="006C01F7" w:rsidRDefault="00405832" w:rsidP="00405832">
            <w:pPr>
              <w:tabs>
                <w:tab w:val="left" w:pos="2880"/>
              </w:tabs>
              <w:spacing w:before="240" w:after="240"/>
              <w:rPr>
                <w:rFonts w:ascii="Georgia" w:hAnsi="Georgia" w:cs="Arial"/>
                <w:b/>
                <w:bCs/>
              </w:rPr>
            </w:pPr>
            <w:r>
              <w:rPr>
                <w:noProof/>
              </w:rPr>
              <w:drawing>
                <wp:inline distT="0" distB="0" distL="0" distR="0" wp14:anchorId="56C00E75" wp14:editId="20F77533">
                  <wp:extent cx="914400" cy="771525"/>
                  <wp:effectExtent l="0" t="0" r="0" b="0"/>
                  <wp:docPr id="997581157" name="Picture 997581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771525"/>
                          </a:xfrm>
                          <a:prstGeom prst="rect">
                            <a:avLst/>
                          </a:prstGeom>
                        </pic:spPr>
                      </pic:pic>
                    </a:graphicData>
                  </a:graphic>
                </wp:inline>
              </w:drawing>
            </w:r>
          </w:p>
        </w:tc>
        <w:tc>
          <w:tcPr>
            <w:tcW w:w="426" w:type="dxa"/>
            <w:vAlign w:val="center"/>
          </w:tcPr>
          <w:p w14:paraId="725C61FF" w14:textId="77777777" w:rsidR="00405832" w:rsidRDefault="00405832" w:rsidP="00405832">
            <w:pPr>
              <w:tabs>
                <w:tab w:val="left" w:pos="2880"/>
              </w:tabs>
              <w:spacing w:before="240" w:after="240"/>
              <w:rPr>
                <w:rFonts w:ascii="Georgia" w:hAnsi="Georgia" w:cs="Arial"/>
                <w:b/>
                <w:bCs/>
              </w:rPr>
            </w:pPr>
          </w:p>
        </w:tc>
        <w:tc>
          <w:tcPr>
            <w:tcW w:w="5209" w:type="dxa"/>
            <w:vAlign w:val="center"/>
          </w:tcPr>
          <w:p w14:paraId="5615A28F" w14:textId="77777777" w:rsidR="00405832" w:rsidRPr="00891CBC" w:rsidRDefault="00405832" w:rsidP="00405832">
            <w:pPr>
              <w:pStyle w:val="Title"/>
              <w:ind w:left="3600" w:hanging="3600"/>
              <w:jc w:val="left"/>
              <w:rPr>
                <w:rFonts w:ascii="Georgia" w:hAnsi="Georgia"/>
              </w:rPr>
            </w:pPr>
            <w:r w:rsidRPr="00891CBC">
              <w:rPr>
                <w:rFonts w:ascii="Georgia" w:hAnsi="Georgia"/>
                <w:sz w:val="24"/>
              </w:rPr>
              <w:t>FIRST-TIER TRIBUNAL</w:t>
            </w:r>
          </w:p>
          <w:p w14:paraId="7110F1F5" w14:textId="170A2CCE" w:rsidR="00405832" w:rsidRDefault="00405832" w:rsidP="00405832">
            <w:pPr>
              <w:tabs>
                <w:tab w:val="left" w:pos="2880"/>
              </w:tabs>
              <w:rPr>
                <w:rFonts w:ascii="Georgia" w:hAnsi="Georgia" w:cs="Arial"/>
                <w:b/>
                <w:bCs/>
              </w:rPr>
            </w:pPr>
            <w:r w:rsidRPr="00891CBC">
              <w:rPr>
                <w:rFonts w:ascii="Georgia" w:hAnsi="Georgia"/>
                <w:b/>
              </w:rPr>
              <w:t>PROPERTY CHAMBER (RESIDENTIAL PROPERTY)</w:t>
            </w:r>
          </w:p>
        </w:tc>
      </w:tr>
      <w:tr w:rsidR="00405832" w14:paraId="5FDC83C1" w14:textId="77777777" w:rsidTr="009167E8">
        <w:tc>
          <w:tcPr>
            <w:tcW w:w="2835" w:type="dxa"/>
            <w:vAlign w:val="center"/>
          </w:tcPr>
          <w:p w14:paraId="72A2ACEE" w14:textId="61E00467" w:rsidR="00405832" w:rsidRDefault="00405832" w:rsidP="00405832">
            <w:pPr>
              <w:tabs>
                <w:tab w:val="left" w:pos="2880"/>
              </w:tabs>
              <w:rPr>
                <w:rFonts w:ascii="Georgia" w:hAnsi="Georgia" w:cs="Arial"/>
                <w:b/>
                <w:bCs/>
              </w:rPr>
            </w:pPr>
            <w:r w:rsidRPr="00891CBC">
              <w:rPr>
                <w:rFonts w:ascii="Georgia" w:hAnsi="Georgia" w:cs="Arial"/>
                <w:b/>
                <w:bCs/>
              </w:rPr>
              <w:t>Case reference</w:t>
            </w:r>
            <w:r>
              <w:rPr>
                <w:rFonts w:ascii="Georgia" w:hAnsi="Georgia" w:cs="Arial"/>
                <w:b/>
                <w:bCs/>
              </w:rPr>
              <w:t>s</w:t>
            </w:r>
          </w:p>
        </w:tc>
        <w:tc>
          <w:tcPr>
            <w:tcW w:w="426" w:type="dxa"/>
            <w:vAlign w:val="center"/>
          </w:tcPr>
          <w:p w14:paraId="65D113B4" w14:textId="5FCDD5DA" w:rsidR="00405832" w:rsidRDefault="00405832" w:rsidP="00405832">
            <w:pPr>
              <w:tabs>
                <w:tab w:val="left" w:pos="2880"/>
              </w:tabs>
              <w:spacing w:before="240" w:after="240"/>
              <w:rPr>
                <w:rFonts w:ascii="Georgia" w:hAnsi="Georgia" w:cs="Arial"/>
                <w:b/>
                <w:bCs/>
              </w:rPr>
            </w:pPr>
            <w:r w:rsidRPr="00891CBC">
              <w:rPr>
                <w:rFonts w:ascii="Georgia" w:hAnsi="Georgia" w:cs="Arial"/>
                <w:b/>
                <w:bCs/>
              </w:rPr>
              <w:t>:</w:t>
            </w:r>
          </w:p>
        </w:tc>
        <w:tc>
          <w:tcPr>
            <w:tcW w:w="5209" w:type="dxa"/>
            <w:vAlign w:val="center"/>
          </w:tcPr>
          <w:p w14:paraId="5A20CBAD" w14:textId="77777777" w:rsidR="00405832" w:rsidRDefault="00405832" w:rsidP="00405832">
            <w:pPr>
              <w:tabs>
                <w:tab w:val="left" w:pos="2880"/>
              </w:tabs>
              <w:rPr>
                <w:rFonts w:ascii="Georgia" w:hAnsi="Georgia" w:cs="Arial"/>
                <w:b/>
                <w:bCs/>
              </w:rPr>
            </w:pPr>
            <w:r>
              <w:rPr>
                <w:rFonts w:ascii="Georgia" w:hAnsi="Georgia" w:cs="Arial"/>
                <w:b/>
                <w:bCs/>
              </w:rPr>
              <w:t>LON/00BG/LSC/2019/0277</w:t>
            </w:r>
          </w:p>
          <w:p w14:paraId="20EDDA4D" w14:textId="76920042" w:rsidR="00405832" w:rsidRDefault="00405832" w:rsidP="00405832">
            <w:pPr>
              <w:tabs>
                <w:tab w:val="left" w:pos="2880"/>
              </w:tabs>
              <w:rPr>
                <w:rFonts w:ascii="Georgia" w:hAnsi="Georgia" w:cs="Arial"/>
                <w:b/>
                <w:bCs/>
              </w:rPr>
            </w:pPr>
          </w:p>
        </w:tc>
      </w:tr>
      <w:tr w:rsidR="00405832" w14:paraId="08468DA9" w14:textId="77777777" w:rsidTr="009167E8">
        <w:tc>
          <w:tcPr>
            <w:tcW w:w="2835" w:type="dxa"/>
            <w:vAlign w:val="center"/>
          </w:tcPr>
          <w:p w14:paraId="29B75D67" w14:textId="2A7E68BF" w:rsidR="00405832" w:rsidRDefault="00405832" w:rsidP="00405832">
            <w:pPr>
              <w:tabs>
                <w:tab w:val="left" w:pos="2880"/>
              </w:tabs>
              <w:rPr>
                <w:rFonts w:ascii="Georgia" w:hAnsi="Georgia" w:cs="Arial"/>
                <w:b/>
                <w:bCs/>
              </w:rPr>
            </w:pPr>
            <w:r w:rsidRPr="00891CBC">
              <w:rPr>
                <w:rFonts w:ascii="Georgia" w:hAnsi="Georgia" w:cs="Arial"/>
                <w:b/>
                <w:bCs/>
              </w:rPr>
              <w:t>Property</w:t>
            </w:r>
          </w:p>
        </w:tc>
        <w:tc>
          <w:tcPr>
            <w:tcW w:w="426" w:type="dxa"/>
            <w:vAlign w:val="center"/>
          </w:tcPr>
          <w:p w14:paraId="7A870D89" w14:textId="664A0097" w:rsidR="00405832" w:rsidRDefault="00405832" w:rsidP="00405832">
            <w:pPr>
              <w:tabs>
                <w:tab w:val="left" w:pos="2880"/>
              </w:tabs>
              <w:spacing w:before="240" w:after="240"/>
              <w:rPr>
                <w:rFonts w:ascii="Georgia" w:hAnsi="Georgia" w:cs="Arial"/>
                <w:b/>
                <w:bCs/>
              </w:rPr>
            </w:pPr>
            <w:r w:rsidRPr="00891CBC">
              <w:rPr>
                <w:rFonts w:ascii="Georgia" w:hAnsi="Georgia" w:cs="Arial"/>
                <w:b/>
                <w:bCs/>
              </w:rPr>
              <w:t>:</w:t>
            </w:r>
          </w:p>
        </w:tc>
        <w:tc>
          <w:tcPr>
            <w:tcW w:w="5209" w:type="dxa"/>
            <w:vAlign w:val="center"/>
          </w:tcPr>
          <w:tbl>
            <w:tblPr>
              <w:tblW w:w="0" w:type="auto"/>
              <w:tblLook w:val="01E0" w:firstRow="1" w:lastRow="1" w:firstColumn="1" w:lastColumn="1" w:noHBand="0" w:noVBand="0"/>
            </w:tblPr>
            <w:tblGrid>
              <w:gridCol w:w="4109"/>
            </w:tblGrid>
            <w:tr w:rsidR="00405832" w:rsidRPr="00E17DD7" w14:paraId="79073552" w14:textId="77777777" w:rsidTr="00B31A20">
              <w:tc>
                <w:tcPr>
                  <w:tcW w:w="4109" w:type="dxa"/>
                  <w:shd w:val="clear" w:color="auto" w:fill="auto"/>
                  <w:vAlign w:val="center"/>
                </w:tcPr>
                <w:p w14:paraId="2ED33E3B" w14:textId="77777777" w:rsidR="00405832" w:rsidRPr="00E17DD7" w:rsidRDefault="00405832" w:rsidP="00405832">
                  <w:pPr>
                    <w:tabs>
                      <w:tab w:val="left" w:pos="2880"/>
                    </w:tabs>
                    <w:ind w:left="-57"/>
                    <w:rPr>
                      <w:rFonts w:ascii="Georgia" w:hAnsi="Georgia" w:cs="Arial"/>
                      <w:b/>
                      <w:bCs/>
                    </w:rPr>
                  </w:pPr>
                  <w:r w:rsidRPr="00E17DD7">
                    <w:rPr>
                      <w:rFonts w:ascii="Georgia" w:hAnsi="Georgia" w:cs="Arial"/>
                      <w:b/>
                      <w:bCs/>
                    </w:rPr>
                    <w:t>Canary Riverside Estate, Westferry Circus, London E14</w:t>
                  </w:r>
                </w:p>
              </w:tc>
            </w:tr>
          </w:tbl>
          <w:p w14:paraId="2A1F27CC" w14:textId="4005852F" w:rsidR="00405832" w:rsidRDefault="00405832" w:rsidP="00405832">
            <w:pPr>
              <w:tabs>
                <w:tab w:val="left" w:pos="2880"/>
              </w:tabs>
              <w:rPr>
                <w:rFonts w:ascii="Georgia" w:hAnsi="Georgia" w:cs="Arial"/>
                <w:b/>
                <w:bCs/>
              </w:rPr>
            </w:pPr>
          </w:p>
        </w:tc>
      </w:tr>
      <w:tr w:rsidR="00405832" w14:paraId="6C795A24" w14:textId="77777777" w:rsidTr="009167E8">
        <w:tc>
          <w:tcPr>
            <w:tcW w:w="2835" w:type="dxa"/>
            <w:vAlign w:val="center"/>
          </w:tcPr>
          <w:p w14:paraId="51C04D21" w14:textId="1860DFAE" w:rsidR="00405832" w:rsidRDefault="00405832" w:rsidP="00405832">
            <w:pPr>
              <w:tabs>
                <w:tab w:val="left" w:pos="2880"/>
              </w:tabs>
              <w:rPr>
                <w:rFonts w:ascii="Georgia" w:hAnsi="Georgia" w:cs="Arial"/>
                <w:b/>
                <w:bCs/>
              </w:rPr>
            </w:pPr>
            <w:r>
              <w:rPr>
                <w:rFonts w:ascii="Georgia" w:hAnsi="Georgia" w:cs="Arial"/>
                <w:b/>
                <w:bCs/>
              </w:rPr>
              <w:t>Applicants</w:t>
            </w:r>
          </w:p>
        </w:tc>
        <w:tc>
          <w:tcPr>
            <w:tcW w:w="426" w:type="dxa"/>
            <w:vAlign w:val="center"/>
          </w:tcPr>
          <w:p w14:paraId="595BCB1F" w14:textId="45DFB941" w:rsidR="00405832" w:rsidRDefault="00405832" w:rsidP="00405832">
            <w:pPr>
              <w:tabs>
                <w:tab w:val="left" w:pos="2880"/>
              </w:tabs>
              <w:spacing w:before="240" w:after="240"/>
              <w:rPr>
                <w:rFonts w:ascii="Georgia" w:hAnsi="Georgia" w:cs="Arial"/>
                <w:b/>
                <w:bCs/>
              </w:rPr>
            </w:pPr>
            <w:r>
              <w:rPr>
                <w:rFonts w:ascii="Georgia" w:hAnsi="Georgia" w:cs="Arial"/>
                <w:b/>
                <w:bCs/>
              </w:rPr>
              <w:t>:</w:t>
            </w:r>
          </w:p>
        </w:tc>
        <w:tc>
          <w:tcPr>
            <w:tcW w:w="5209" w:type="dxa"/>
            <w:vAlign w:val="center"/>
          </w:tcPr>
          <w:p w14:paraId="59B2CA10" w14:textId="77777777" w:rsidR="00405832" w:rsidRDefault="00405832" w:rsidP="00405832">
            <w:pPr>
              <w:tabs>
                <w:tab w:val="left" w:pos="2880"/>
              </w:tabs>
              <w:rPr>
                <w:rFonts w:ascii="Georgia" w:hAnsi="Georgia" w:cs="Arial"/>
                <w:b/>
                <w:bCs/>
              </w:rPr>
            </w:pPr>
            <w:r w:rsidRPr="0024410E">
              <w:rPr>
                <w:rFonts w:ascii="Georgia" w:hAnsi="Georgia" w:cs="Arial"/>
                <w:b/>
                <w:bCs/>
              </w:rPr>
              <w:t>Various leaseholders represented by the Residents Association of Canary Riverside</w:t>
            </w:r>
          </w:p>
          <w:p w14:paraId="318C3FD3" w14:textId="32D2BD3E" w:rsidR="00405832" w:rsidRDefault="00405832" w:rsidP="00405832">
            <w:pPr>
              <w:tabs>
                <w:tab w:val="left" w:pos="2880"/>
              </w:tabs>
              <w:rPr>
                <w:rFonts w:ascii="Georgia" w:hAnsi="Georgia" w:cs="Arial"/>
                <w:b/>
                <w:bCs/>
              </w:rPr>
            </w:pPr>
          </w:p>
        </w:tc>
      </w:tr>
      <w:tr w:rsidR="00405832" w14:paraId="32A8FE55" w14:textId="77777777" w:rsidTr="009167E8">
        <w:tc>
          <w:tcPr>
            <w:tcW w:w="2835" w:type="dxa"/>
            <w:vAlign w:val="center"/>
          </w:tcPr>
          <w:p w14:paraId="5A1E40B4" w14:textId="77777777" w:rsidR="00405832" w:rsidRDefault="00405832" w:rsidP="00405832">
            <w:pPr>
              <w:tabs>
                <w:tab w:val="left" w:pos="2880"/>
              </w:tabs>
              <w:rPr>
                <w:rFonts w:ascii="Georgia" w:hAnsi="Georgia" w:cs="Arial"/>
                <w:b/>
                <w:bCs/>
              </w:rPr>
            </w:pPr>
            <w:r>
              <w:rPr>
                <w:rFonts w:ascii="Georgia" w:hAnsi="Georgia" w:cs="Arial"/>
                <w:b/>
                <w:bCs/>
              </w:rPr>
              <w:t>Respondents</w:t>
            </w:r>
          </w:p>
          <w:p w14:paraId="55A51D7E" w14:textId="77777777" w:rsidR="00405832" w:rsidRDefault="00405832" w:rsidP="00405832">
            <w:pPr>
              <w:tabs>
                <w:tab w:val="left" w:pos="2880"/>
              </w:tabs>
              <w:rPr>
                <w:rFonts w:ascii="Georgia" w:hAnsi="Georgia" w:cs="Arial"/>
                <w:b/>
                <w:bCs/>
              </w:rPr>
            </w:pPr>
          </w:p>
          <w:p w14:paraId="3A695E63" w14:textId="77777777" w:rsidR="00405832" w:rsidRDefault="00405832" w:rsidP="00405832">
            <w:pPr>
              <w:tabs>
                <w:tab w:val="left" w:pos="2880"/>
              </w:tabs>
              <w:rPr>
                <w:rFonts w:ascii="Georgia" w:hAnsi="Georgia" w:cs="Arial"/>
                <w:b/>
                <w:bCs/>
              </w:rPr>
            </w:pPr>
          </w:p>
          <w:p w14:paraId="15B549FD" w14:textId="3AFEC026" w:rsidR="00405832" w:rsidRDefault="00405832" w:rsidP="00405832">
            <w:pPr>
              <w:tabs>
                <w:tab w:val="left" w:pos="2880"/>
              </w:tabs>
              <w:rPr>
                <w:rFonts w:ascii="Georgia" w:hAnsi="Georgia" w:cs="Arial"/>
                <w:b/>
                <w:bCs/>
              </w:rPr>
            </w:pPr>
          </w:p>
        </w:tc>
        <w:tc>
          <w:tcPr>
            <w:tcW w:w="426" w:type="dxa"/>
            <w:vAlign w:val="center"/>
          </w:tcPr>
          <w:p w14:paraId="5AE49F88" w14:textId="77777777" w:rsidR="00405832" w:rsidRDefault="00405832" w:rsidP="00405832">
            <w:pPr>
              <w:tabs>
                <w:tab w:val="left" w:pos="2880"/>
              </w:tabs>
              <w:spacing w:before="240" w:after="240"/>
              <w:rPr>
                <w:rFonts w:ascii="Georgia" w:hAnsi="Georgia" w:cs="Arial"/>
                <w:b/>
                <w:bCs/>
              </w:rPr>
            </w:pPr>
            <w:r>
              <w:rPr>
                <w:rFonts w:ascii="Georgia" w:hAnsi="Georgia" w:cs="Arial"/>
                <w:b/>
                <w:bCs/>
              </w:rPr>
              <w:t>:</w:t>
            </w:r>
          </w:p>
          <w:p w14:paraId="0FC9007F" w14:textId="77777777" w:rsidR="00405832" w:rsidRDefault="00405832" w:rsidP="00405832">
            <w:pPr>
              <w:tabs>
                <w:tab w:val="left" w:pos="2880"/>
              </w:tabs>
              <w:spacing w:before="240" w:after="240"/>
              <w:rPr>
                <w:rFonts w:ascii="Georgia" w:hAnsi="Georgia" w:cs="Arial"/>
                <w:b/>
                <w:bCs/>
              </w:rPr>
            </w:pPr>
          </w:p>
          <w:p w14:paraId="66E42E39" w14:textId="7756E037" w:rsidR="00405832" w:rsidRDefault="00405832" w:rsidP="00405832">
            <w:pPr>
              <w:tabs>
                <w:tab w:val="left" w:pos="2880"/>
              </w:tabs>
              <w:spacing w:before="240" w:after="240"/>
              <w:rPr>
                <w:rFonts w:ascii="Georgia" w:hAnsi="Georgia" w:cs="Arial"/>
                <w:b/>
                <w:bCs/>
              </w:rPr>
            </w:pPr>
          </w:p>
        </w:tc>
        <w:tc>
          <w:tcPr>
            <w:tcW w:w="5209" w:type="dxa"/>
            <w:vAlign w:val="center"/>
          </w:tcPr>
          <w:p w14:paraId="769A180E" w14:textId="77777777" w:rsidR="00405832" w:rsidRDefault="00405832" w:rsidP="00405832">
            <w:pPr>
              <w:autoSpaceDE w:val="0"/>
              <w:autoSpaceDN w:val="0"/>
              <w:adjustRightInd w:val="0"/>
              <w:spacing w:after="120"/>
              <w:ind w:left="368" w:hanging="368"/>
              <w:rPr>
                <w:rFonts w:ascii="Georgia" w:hAnsi="Georgia" w:cs="Arial"/>
                <w:b/>
                <w:bCs/>
              </w:rPr>
            </w:pPr>
            <w:r>
              <w:rPr>
                <w:rFonts w:ascii="Georgia" w:hAnsi="Georgia" w:cs="Arial"/>
                <w:b/>
                <w:bCs/>
              </w:rPr>
              <w:t xml:space="preserve">(1) Canary Riverside Estate Management Limited </w:t>
            </w:r>
          </w:p>
          <w:p w14:paraId="1099D0EB" w14:textId="77777777" w:rsidR="00405832" w:rsidRDefault="00405832" w:rsidP="00405832">
            <w:pPr>
              <w:autoSpaceDE w:val="0"/>
              <w:autoSpaceDN w:val="0"/>
              <w:adjustRightInd w:val="0"/>
              <w:spacing w:after="120"/>
              <w:ind w:left="368" w:hanging="368"/>
              <w:rPr>
                <w:rFonts w:ascii="Georgia" w:hAnsi="Georgia" w:cs="Arial"/>
                <w:b/>
                <w:bCs/>
              </w:rPr>
            </w:pPr>
            <w:r>
              <w:rPr>
                <w:rFonts w:ascii="Georgia" w:hAnsi="Georgia" w:cs="Arial"/>
                <w:b/>
                <w:bCs/>
              </w:rPr>
              <w:t xml:space="preserve">(2) Octagon Overseas Limited </w:t>
            </w:r>
          </w:p>
          <w:p w14:paraId="77F07659" w14:textId="77777777" w:rsidR="00405832" w:rsidRDefault="00405832" w:rsidP="00405832">
            <w:pPr>
              <w:autoSpaceDE w:val="0"/>
              <w:autoSpaceDN w:val="0"/>
              <w:adjustRightInd w:val="0"/>
              <w:spacing w:after="120"/>
              <w:ind w:left="368" w:hanging="368"/>
              <w:rPr>
                <w:rFonts w:ascii="Georgia" w:hAnsi="Georgia" w:cs="Arial"/>
                <w:b/>
                <w:bCs/>
              </w:rPr>
            </w:pPr>
          </w:p>
          <w:p w14:paraId="5ACE2D34" w14:textId="2D24C4AE" w:rsidR="00405832" w:rsidRDefault="00405832" w:rsidP="00405832">
            <w:pPr>
              <w:tabs>
                <w:tab w:val="left" w:pos="2880"/>
              </w:tabs>
              <w:rPr>
                <w:rFonts w:ascii="Georgia" w:hAnsi="Georgia" w:cs="Arial"/>
                <w:b/>
                <w:bCs/>
              </w:rPr>
            </w:pPr>
          </w:p>
        </w:tc>
      </w:tr>
      <w:tr w:rsidR="00405832" w14:paraId="7E524D69" w14:textId="77777777" w:rsidTr="009167E8">
        <w:tc>
          <w:tcPr>
            <w:tcW w:w="2835" w:type="dxa"/>
            <w:vAlign w:val="center"/>
          </w:tcPr>
          <w:p w14:paraId="11704661" w14:textId="18BD64F7" w:rsidR="00405832" w:rsidRDefault="00405832" w:rsidP="00405832">
            <w:pPr>
              <w:tabs>
                <w:tab w:val="left" w:pos="2880"/>
              </w:tabs>
              <w:rPr>
                <w:rFonts w:ascii="Georgia" w:hAnsi="Georgia" w:cs="Arial"/>
                <w:b/>
                <w:bCs/>
              </w:rPr>
            </w:pPr>
            <w:r>
              <w:rPr>
                <w:rFonts w:ascii="Georgia" w:hAnsi="Georgia" w:cs="Arial"/>
                <w:b/>
                <w:bCs/>
              </w:rPr>
              <w:t>Interested Persons</w:t>
            </w:r>
          </w:p>
        </w:tc>
        <w:tc>
          <w:tcPr>
            <w:tcW w:w="426" w:type="dxa"/>
            <w:vAlign w:val="center"/>
          </w:tcPr>
          <w:p w14:paraId="1B48C0BF" w14:textId="3B904280" w:rsidR="00405832" w:rsidRDefault="00405832" w:rsidP="00405832">
            <w:pPr>
              <w:tabs>
                <w:tab w:val="left" w:pos="2880"/>
              </w:tabs>
              <w:spacing w:before="240" w:after="240"/>
              <w:rPr>
                <w:rFonts w:ascii="Georgia" w:hAnsi="Georgia" w:cs="Arial"/>
                <w:b/>
                <w:bCs/>
              </w:rPr>
            </w:pPr>
            <w:r>
              <w:rPr>
                <w:rFonts w:ascii="Georgia" w:hAnsi="Georgia" w:cs="Arial"/>
                <w:b/>
                <w:bCs/>
              </w:rPr>
              <w:t>:</w:t>
            </w:r>
          </w:p>
        </w:tc>
        <w:tc>
          <w:tcPr>
            <w:tcW w:w="5209" w:type="dxa"/>
            <w:vAlign w:val="center"/>
          </w:tcPr>
          <w:p w14:paraId="3940FCE9" w14:textId="77777777" w:rsidR="00405832" w:rsidRDefault="00405832" w:rsidP="00405832">
            <w:pPr>
              <w:autoSpaceDE w:val="0"/>
              <w:autoSpaceDN w:val="0"/>
              <w:adjustRightInd w:val="0"/>
              <w:spacing w:after="120"/>
              <w:ind w:left="368" w:hanging="368"/>
              <w:rPr>
                <w:rFonts w:ascii="Georgia" w:hAnsi="Georgia" w:cs="Arial"/>
                <w:b/>
                <w:bCs/>
              </w:rPr>
            </w:pPr>
          </w:p>
          <w:p w14:paraId="53CA5075" w14:textId="77777777" w:rsidR="00405832" w:rsidRDefault="00405832" w:rsidP="00405832">
            <w:pPr>
              <w:autoSpaceDE w:val="0"/>
              <w:autoSpaceDN w:val="0"/>
              <w:adjustRightInd w:val="0"/>
              <w:spacing w:after="120"/>
              <w:ind w:left="368" w:hanging="368"/>
              <w:rPr>
                <w:rFonts w:ascii="Georgia" w:hAnsi="Georgia" w:cs="Arial"/>
                <w:b/>
                <w:bCs/>
              </w:rPr>
            </w:pPr>
            <w:r w:rsidRPr="00A76455">
              <w:rPr>
                <w:rFonts w:ascii="Georgia" w:hAnsi="Georgia" w:cs="Arial"/>
                <w:b/>
                <w:bCs/>
              </w:rPr>
              <w:t xml:space="preserve">(1) Mr </w:t>
            </w:r>
            <w:r>
              <w:rPr>
                <w:rFonts w:ascii="Georgia" w:hAnsi="Georgia" w:cs="Arial"/>
                <w:b/>
                <w:bCs/>
              </w:rPr>
              <w:t>S</w:t>
            </w:r>
            <w:r w:rsidRPr="00A76455">
              <w:rPr>
                <w:rFonts w:ascii="Georgia" w:hAnsi="Georgia" w:cs="Arial"/>
                <w:b/>
                <w:bCs/>
              </w:rPr>
              <w:t xml:space="preserve">ol </w:t>
            </w:r>
            <w:r>
              <w:rPr>
                <w:rFonts w:ascii="Georgia" w:hAnsi="Georgia" w:cs="Arial"/>
                <w:b/>
                <w:bCs/>
              </w:rPr>
              <w:t>U</w:t>
            </w:r>
            <w:r w:rsidRPr="00A76455">
              <w:rPr>
                <w:rFonts w:ascii="Georgia" w:hAnsi="Georgia" w:cs="Arial"/>
                <w:b/>
                <w:bCs/>
              </w:rPr>
              <w:t xml:space="preserve">nsdorfer </w:t>
            </w:r>
          </w:p>
          <w:p w14:paraId="51171A21" w14:textId="28DA2501" w:rsidR="00405832" w:rsidRPr="00A02612" w:rsidRDefault="00405832" w:rsidP="00405832">
            <w:pPr>
              <w:autoSpaceDE w:val="0"/>
              <w:autoSpaceDN w:val="0"/>
              <w:adjustRightInd w:val="0"/>
              <w:spacing w:after="120"/>
              <w:ind w:left="368" w:hanging="368"/>
              <w:rPr>
                <w:rFonts w:ascii="Georgia" w:hAnsi="Georgia" w:cs="Arial"/>
                <w:b/>
              </w:rPr>
            </w:pPr>
            <w:r w:rsidRPr="00A76455">
              <w:rPr>
                <w:rFonts w:ascii="Georgia" w:hAnsi="Georgia" w:cs="Arial"/>
                <w:b/>
                <w:bCs/>
              </w:rPr>
              <w:t xml:space="preserve">(2) Mr Alan </w:t>
            </w:r>
            <w:r>
              <w:rPr>
                <w:rFonts w:ascii="Georgia" w:hAnsi="Georgia" w:cs="Arial"/>
                <w:b/>
                <w:bCs/>
              </w:rPr>
              <w:t>C</w:t>
            </w:r>
            <w:r w:rsidRPr="00A76455">
              <w:rPr>
                <w:rFonts w:ascii="Georgia" w:hAnsi="Georgia" w:cs="Arial"/>
                <w:b/>
                <w:bCs/>
              </w:rPr>
              <w:t xml:space="preserve">oates </w:t>
            </w:r>
          </w:p>
        </w:tc>
      </w:tr>
      <w:tr w:rsidR="00405832" w14:paraId="1C14E550" w14:textId="77777777" w:rsidTr="009167E8">
        <w:tc>
          <w:tcPr>
            <w:tcW w:w="2835" w:type="dxa"/>
            <w:vAlign w:val="center"/>
          </w:tcPr>
          <w:p w14:paraId="3670A4CA" w14:textId="636A9811" w:rsidR="00405832" w:rsidRDefault="00405832" w:rsidP="00405832">
            <w:pPr>
              <w:tabs>
                <w:tab w:val="left" w:pos="2880"/>
              </w:tabs>
              <w:rPr>
                <w:rFonts w:ascii="Georgia" w:hAnsi="Georgia" w:cs="Arial"/>
                <w:b/>
                <w:bCs/>
              </w:rPr>
            </w:pPr>
            <w:r w:rsidRPr="00891CBC">
              <w:rPr>
                <w:rFonts w:ascii="Georgia" w:hAnsi="Georgia" w:cs="Arial"/>
                <w:b/>
                <w:bCs/>
              </w:rPr>
              <w:t>Type of application</w:t>
            </w:r>
          </w:p>
        </w:tc>
        <w:tc>
          <w:tcPr>
            <w:tcW w:w="426" w:type="dxa"/>
            <w:vAlign w:val="center"/>
          </w:tcPr>
          <w:p w14:paraId="1A6EA5BD" w14:textId="652DE908" w:rsidR="00405832" w:rsidRDefault="00405832" w:rsidP="00405832">
            <w:pPr>
              <w:tabs>
                <w:tab w:val="left" w:pos="2880"/>
              </w:tabs>
              <w:spacing w:before="240" w:after="240"/>
              <w:rPr>
                <w:rFonts w:ascii="Georgia" w:hAnsi="Georgia" w:cs="Arial"/>
                <w:b/>
                <w:bCs/>
              </w:rPr>
            </w:pPr>
            <w:r w:rsidRPr="00891CBC">
              <w:rPr>
                <w:rFonts w:ascii="Georgia" w:hAnsi="Georgia" w:cs="Arial"/>
                <w:b/>
                <w:bCs/>
              </w:rPr>
              <w:t>:</w:t>
            </w:r>
          </w:p>
        </w:tc>
        <w:tc>
          <w:tcPr>
            <w:tcW w:w="5209" w:type="dxa"/>
            <w:vAlign w:val="center"/>
          </w:tcPr>
          <w:p w14:paraId="2D51CC1F" w14:textId="77777777" w:rsidR="00405832" w:rsidRDefault="00405832" w:rsidP="00405832">
            <w:pPr>
              <w:tabs>
                <w:tab w:val="left" w:pos="2880"/>
              </w:tabs>
              <w:rPr>
                <w:rFonts w:ascii="Georgia" w:hAnsi="Georgia" w:cs="Arial"/>
                <w:b/>
                <w:bCs/>
              </w:rPr>
            </w:pPr>
          </w:p>
          <w:p w14:paraId="36109089" w14:textId="77777777" w:rsidR="00405832" w:rsidRDefault="00405832" w:rsidP="00405832">
            <w:pPr>
              <w:tabs>
                <w:tab w:val="left" w:pos="2880"/>
              </w:tabs>
              <w:rPr>
                <w:rFonts w:ascii="Georgia" w:hAnsi="Georgia" w:cs="Arial"/>
                <w:b/>
                <w:bCs/>
              </w:rPr>
            </w:pPr>
            <w:r w:rsidRPr="008967AF">
              <w:rPr>
                <w:rFonts w:ascii="Georgia" w:hAnsi="Georgia" w:cs="Arial"/>
                <w:b/>
                <w:bCs/>
              </w:rPr>
              <w:t xml:space="preserve">Liability to pay service charges </w:t>
            </w:r>
          </w:p>
          <w:p w14:paraId="21D8FAA9" w14:textId="77777777" w:rsidR="00405832" w:rsidRDefault="00405832" w:rsidP="00405832">
            <w:pPr>
              <w:tabs>
                <w:tab w:val="left" w:pos="2880"/>
              </w:tabs>
              <w:rPr>
                <w:rFonts w:ascii="Georgia" w:hAnsi="Georgia" w:cs="Arial"/>
                <w:b/>
                <w:bCs/>
              </w:rPr>
            </w:pPr>
          </w:p>
        </w:tc>
      </w:tr>
      <w:tr w:rsidR="00405832" w14:paraId="3046BD29" w14:textId="77777777" w:rsidTr="009167E8">
        <w:tc>
          <w:tcPr>
            <w:tcW w:w="2835" w:type="dxa"/>
            <w:vAlign w:val="center"/>
          </w:tcPr>
          <w:p w14:paraId="68ADDF37" w14:textId="08FE33B5" w:rsidR="00405832" w:rsidRDefault="00405832" w:rsidP="00405832">
            <w:pPr>
              <w:tabs>
                <w:tab w:val="left" w:pos="2880"/>
              </w:tabs>
              <w:rPr>
                <w:rFonts w:ascii="Georgia" w:hAnsi="Georgia" w:cs="Arial"/>
                <w:b/>
                <w:bCs/>
              </w:rPr>
            </w:pPr>
            <w:r w:rsidRPr="00891CBC">
              <w:rPr>
                <w:rFonts w:ascii="Georgia" w:hAnsi="Georgia" w:cs="Arial"/>
                <w:b/>
                <w:bCs/>
              </w:rPr>
              <w:t xml:space="preserve">Tribunal </w:t>
            </w:r>
          </w:p>
        </w:tc>
        <w:tc>
          <w:tcPr>
            <w:tcW w:w="426" w:type="dxa"/>
            <w:vAlign w:val="center"/>
          </w:tcPr>
          <w:p w14:paraId="715920D0" w14:textId="2BF3C5E6" w:rsidR="00405832" w:rsidRDefault="00405832" w:rsidP="00405832">
            <w:pPr>
              <w:tabs>
                <w:tab w:val="left" w:pos="2880"/>
              </w:tabs>
              <w:spacing w:before="240" w:after="240"/>
              <w:rPr>
                <w:rFonts w:ascii="Georgia" w:hAnsi="Georgia" w:cs="Arial"/>
                <w:b/>
                <w:bCs/>
              </w:rPr>
            </w:pPr>
            <w:r w:rsidRPr="00891CBC">
              <w:rPr>
                <w:rFonts w:ascii="Georgia" w:hAnsi="Georgia" w:cs="Arial"/>
                <w:b/>
                <w:bCs/>
              </w:rPr>
              <w:t>:</w:t>
            </w:r>
          </w:p>
        </w:tc>
        <w:tc>
          <w:tcPr>
            <w:tcW w:w="5209" w:type="dxa"/>
            <w:vAlign w:val="center"/>
          </w:tcPr>
          <w:p w14:paraId="738B7801" w14:textId="77777777" w:rsidR="00405832" w:rsidRDefault="00405832" w:rsidP="00405832">
            <w:pPr>
              <w:numPr>
                <w:ilvl w:val="0"/>
                <w:numId w:val="12"/>
              </w:numPr>
              <w:ind w:left="594" w:hanging="567"/>
              <w:rPr>
                <w:rFonts w:ascii="Georgia" w:hAnsi="Georgia" w:cs="Arial"/>
                <w:b/>
                <w:bCs/>
              </w:rPr>
            </w:pPr>
            <w:r>
              <w:rPr>
                <w:rFonts w:ascii="Georgia" w:hAnsi="Georgia" w:cs="Arial"/>
                <w:b/>
                <w:bCs/>
              </w:rPr>
              <w:t>Judge Amran Vance</w:t>
            </w:r>
          </w:p>
          <w:p w14:paraId="4887AE62" w14:textId="77777777" w:rsidR="00405832" w:rsidRDefault="00405832" w:rsidP="00405832">
            <w:pPr>
              <w:numPr>
                <w:ilvl w:val="0"/>
                <w:numId w:val="12"/>
              </w:numPr>
              <w:ind w:left="594" w:hanging="567"/>
              <w:rPr>
                <w:rFonts w:ascii="Georgia" w:hAnsi="Georgia" w:cs="Arial"/>
                <w:b/>
                <w:bCs/>
              </w:rPr>
            </w:pPr>
            <w:r>
              <w:rPr>
                <w:rFonts w:ascii="Georgia" w:hAnsi="Georgia" w:cs="Arial"/>
                <w:b/>
                <w:bCs/>
              </w:rPr>
              <w:t>Judge Nicola Rushton KC</w:t>
            </w:r>
          </w:p>
          <w:p w14:paraId="1839AE5C" w14:textId="77777777" w:rsidR="00405832" w:rsidRDefault="00405832" w:rsidP="00405832">
            <w:pPr>
              <w:numPr>
                <w:ilvl w:val="0"/>
                <w:numId w:val="12"/>
              </w:numPr>
              <w:ind w:left="594" w:hanging="567"/>
              <w:rPr>
                <w:rFonts w:ascii="Georgia" w:hAnsi="Georgia" w:cs="Arial"/>
                <w:b/>
                <w:bCs/>
              </w:rPr>
            </w:pPr>
            <w:r>
              <w:rPr>
                <w:rFonts w:ascii="Georgia" w:hAnsi="Georgia" w:cs="Arial"/>
                <w:b/>
                <w:bCs/>
              </w:rPr>
              <w:t>Mr Ian Holdsworth FRICS</w:t>
            </w:r>
          </w:p>
          <w:p w14:paraId="77E2C135" w14:textId="77777777" w:rsidR="00405832" w:rsidRDefault="00405832" w:rsidP="00405832">
            <w:pPr>
              <w:ind w:left="594" w:hanging="567"/>
              <w:rPr>
                <w:rFonts w:ascii="Georgia" w:hAnsi="Georgia" w:cs="Arial"/>
                <w:b/>
                <w:bCs/>
              </w:rPr>
            </w:pPr>
          </w:p>
          <w:p w14:paraId="034CB19E" w14:textId="41FBCA44" w:rsidR="00405832" w:rsidRPr="00B52F77" w:rsidRDefault="00405832" w:rsidP="00405832">
            <w:pPr>
              <w:tabs>
                <w:tab w:val="left" w:pos="2880"/>
              </w:tabs>
              <w:ind w:left="594" w:hanging="567"/>
              <w:rPr>
                <w:rFonts w:ascii="Georgia" w:hAnsi="Georgia" w:cs="Arial"/>
                <w:b/>
                <w:bCs/>
              </w:rPr>
            </w:pPr>
          </w:p>
        </w:tc>
      </w:tr>
      <w:tr w:rsidR="00405832" w14:paraId="2C99FE48" w14:textId="77777777" w:rsidTr="009167E8">
        <w:tc>
          <w:tcPr>
            <w:tcW w:w="2835" w:type="dxa"/>
            <w:vAlign w:val="center"/>
          </w:tcPr>
          <w:p w14:paraId="24D3A1AB" w14:textId="1309D2A8" w:rsidR="00405832" w:rsidRDefault="00405832" w:rsidP="00405832">
            <w:pPr>
              <w:tabs>
                <w:tab w:val="left" w:pos="2880"/>
              </w:tabs>
              <w:rPr>
                <w:rFonts w:ascii="Georgia" w:hAnsi="Georgia" w:cs="Arial"/>
                <w:b/>
                <w:bCs/>
              </w:rPr>
            </w:pPr>
            <w:r w:rsidRPr="00891CBC">
              <w:rPr>
                <w:rFonts w:ascii="Georgia" w:hAnsi="Georgia" w:cs="Arial"/>
                <w:b/>
                <w:bCs/>
              </w:rPr>
              <w:t>Venue</w:t>
            </w:r>
          </w:p>
        </w:tc>
        <w:tc>
          <w:tcPr>
            <w:tcW w:w="426" w:type="dxa"/>
            <w:vAlign w:val="center"/>
          </w:tcPr>
          <w:p w14:paraId="65EDEA72" w14:textId="7669FFD6" w:rsidR="00405832" w:rsidRDefault="00405832" w:rsidP="00405832">
            <w:pPr>
              <w:tabs>
                <w:tab w:val="left" w:pos="2880"/>
              </w:tabs>
              <w:spacing w:before="240" w:after="240"/>
              <w:rPr>
                <w:rFonts w:ascii="Georgia" w:hAnsi="Georgia" w:cs="Arial"/>
                <w:b/>
                <w:bCs/>
              </w:rPr>
            </w:pPr>
            <w:r w:rsidRPr="00891CBC">
              <w:rPr>
                <w:rFonts w:ascii="Georgia" w:hAnsi="Georgia" w:cs="Arial"/>
                <w:b/>
                <w:bCs/>
              </w:rPr>
              <w:t>:</w:t>
            </w:r>
          </w:p>
        </w:tc>
        <w:tc>
          <w:tcPr>
            <w:tcW w:w="5209" w:type="dxa"/>
            <w:vAlign w:val="center"/>
          </w:tcPr>
          <w:p w14:paraId="734802A2" w14:textId="26EE7586" w:rsidR="00405832" w:rsidRDefault="00405832" w:rsidP="00405832">
            <w:pPr>
              <w:tabs>
                <w:tab w:val="left" w:pos="2880"/>
              </w:tabs>
              <w:spacing w:before="120" w:after="120"/>
              <w:rPr>
                <w:rFonts w:ascii="Georgia" w:hAnsi="Georgia" w:cs="Arial"/>
                <w:b/>
                <w:bCs/>
              </w:rPr>
            </w:pPr>
            <w:smartTag w:uri="urn:schemas-microsoft-com:office:smarttags" w:element="address">
              <w:smartTag w:uri="urn:schemas-microsoft-com:office:smarttags" w:element="Street">
                <w:r w:rsidRPr="00891CBC">
                  <w:rPr>
                    <w:rFonts w:ascii="Georgia" w:hAnsi="Georgia" w:cs="Arial"/>
                    <w:b/>
                    <w:bCs/>
                  </w:rPr>
                  <w:t>10 Alfred Place</w:t>
                </w:r>
              </w:smartTag>
              <w:r w:rsidRPr="00891CBC">
                <w:rPr>
                  <w:rFonts w:ascii="Georgia" w:hAnsi="Georgia" w:cs="Arial"/>
                  <w:b/>
                  <w:bCs/>
                </w:rPr>
                <w:t xml:space="preserve">, </w:t>
              </w:r>
              <w:smartTag w:uri="urn:schemas-microsoft-com:office:smarttags" w:element="City">
                <w:r w:rsidRPr="00891CBC">
                  <w:rPr>
                    <w:rFonts w:ascii="Georgia" w:hAnsi="Georgia" w:cs="Arial"/>
                    <w:b/>
                    <w:bCs/>
                  </w:rPr>
                  <w:t>London</w:t>
                </w:r>
              </w:smartTag>
              <w:r w:rsidRPr="00891CBC">
                <w:rPr>
                  <w:rFonts w:ascii="Georgia" w:hAnsi="Georgia" w:cs="Arial"/>
                  <w:b/>
                  <w:bCs/>
                </w:rPr>
                <w:t xml:space="preserve"> </w:t>
              </w:r>
              <w:smartTag w:uri="urn:schemas-microsoft-com:office:smarttags" w:element="PostalCode">
                <w:r w:rsidRPr="00891CBC">
                  <w:rPr>
                    <w:rFonts w:ascii="Georgia" w:hAnsi="Georgia" w:cs="Arial"/>
                    <w:b/>
                    <w:bCs/>
                  </w:rPr>
                  <w:t>WC1E 7LR</w:t>
                </w:r>
              </w:smartTag>
            </w:smartTag>
          </w:p>
        </w:tc>
      </w:tr>
      <w:tr w:rsidR="00405832" w14:paraId="0C59618F" w14:textId="77777777" w:rsidTr="009167E8">
        <w:tc>
          <w:tcPr>
            <w:tcW w:w="2835" w:type="dxa"/>
            <w:vAlign w:val="center"/>
          </w:tcPr>
          <w:p w14:paraId="1CB33A2B" w14:textId="03C99C5B" w:rsidR="00405832" w:rsidRDefault="00405832" w:rsidP="00405832">
            <w:pPr>
              <w:tabs>
                <w:tab w:val="left" w:pos="2880"/>
              </w:tabs>
              <w:rPr>
                <w:rFonts w:ascii="Georgia" w:hAnsi="Georgia" w:cs="Arial"/>
                <w:b/>
                <w:bCs/>
              </w:rPr>
            </w:pPr>
            <w:r>
              <w:rPr>
                <w:rFonts w:ascii="Georgia" w:hAnsi="Georgia" w:cs="Arial"/>
                <w:b/>
                <w:bCs/>
              </w:rPr>
              <w:t>Date of Decision</w:t>
            </w:r>
          </w:p>
        </w:tc>
        <w:tc>
          <w:tcPr>
            <w:tcW w:w="426" w:type="dxa"/>
            <w:vAlign w:val="center"/>
          </w:tcPr>
          <w:p w14:paraId="22CB42B6" w14:textId="106FC4A5" w:rsidR="00405832" w:rsidRDefault="00405832" w:rsidP="00405832">
            <w:pPr>
              <w:tabs>
                <w:tab w:val="left" w:pos="2880"/>
              </w:tabs>
              <w:spacing w:before="240" w:after="240"/>
              <w:rPr>
                <w:rFonts w:ascii="Georgia" w:hAnsi="Georgia" w:cs="Arial"/>
                <w:b/>
                <w:bCs/>
              </w:rPr>
            </w:pPr>
            <w:r>
              <w:rPr>
                <w:rFonts w:ascii="Georgia" w:hAnsi="Georgia" w:cs="Arial"/>
                <w:b/>
                <w:bCs/>
              </w:rPr>
              <w:t>:</w:t>
            </w:r>
          </w:p>
        </w:tc>
        <w:tc>
          <w:tcPr>
            <w:tcW w:w="5209" w:type="dxa"/>
            <w:vAlign w:val="center"/>
          </w:tcPr>
          <w:p w14:paraId="6ACB17B5" w14:textId="241CF593" w:rsidR="00405832" w:rsidRDefault="005E500E" w:rsidP="00405832">
            <w:pPr>
              <w:tabs>
                <w:tab w:val="left" w:pos="2880"/>
              </w:tabs>
              <w:rPr>
                <w:rFonts w:ascii="Georgia" w:hAnsi="Georgia" w:cs="Arial"/>
                <w:b/>
                <w:bCs/>
              </w:rPr>
            </w:pPr>
            <w:r>
              <w:rPr>
                <w:rFonts w:ascii="Georgia" w:hAnsi="Georgia" w:cs="Arial"/>
                <w:b/>
                <w:bCs/>
              </w:rPr>
              <w:t>13 February 2022</w:t>
            </w:r>
          </w:p>
        </w:tc>
      </w:tr>
    </w:tbl>
    <w:p w14:paraId="5C006684" w14:textId="77777777" w:rsidR="00B52F77" w:rsidRDefault="00B52F77" w:rsidP="008A25EF">
      <w:pPr>
        <w:jc w:val="both"/>
        <w:rPr>
          <w:szCs w:val="20"/>
        </w:rPr>
      </w:pPr>
    </w:p>
    <w:tbl>
      <w:tblPr>
        <w:tblStyle w:val="TableGrid"/>
        <w:tblW w:w="0" w:type="auto"/>
        <w:tblLook w:val="01E0" w:firstRow="1" w:lastRow="1" w:firstColumn="1" w:lastColumn="1" w:noHBand="0" w:noVBand="0"/>
      </w:tblPr>
      <w:tblGrid>
        <w:gridCol w:w="8312"/>
      </w:tblGrid>
      <w:tr w:rsidR="00B52F77" w14:paraId="71DCD5A5" w14:textId="77777777" w:rsidTr="008A25EF">
        <w:trPr>
          <w:trHeight w:val="811"/>
        </w:trPr>
        <w:tc>
          <w:tcPr>
            <w:tcW w:w="8522" w:type="dxa"/>
            <w:tcBorders>
              <w:left w:val="nil"/>
              <w:right w:val="nil"/>
            </w:tcBorders>
            <w:vAlign w:val="center"/>
          </w:tcPr>
          <w:p w14:paraId="1669BF4E" w14:textId="210EE1AB" w:rsidR="00B52F77" w:rsidRDefault="00B52F77" w:rsidP="008A25EF">
            <w:pPr>
              <w:jc w:val="center"/>
              <w:rPr>
                <w:szCs w:val="20"/>
              </w:rPr>
            </w:pPr>
            <w:r w:rsidRPr="001D4F05">
              <w:rPr>
                <w:rFonts w:ascii="Georgia" w:hAnsi="Georgia" w:cs="Arial"/>
                <w:b/>
                <w:bCs/>
              </w:rPr>
              <w:t>D</w:t>
            </w:r>
            <w:r>
              <w:rPr>
                <w:rFonts w:ascii="Georgia" w:hAnsi="Georgia" w:cs="Arial"/>
                <w:b/>
                <w:bCs/>
              </w:rPr>
              <w:t>ECISION</w:t>
            </w:r>
            <w:r w:rsidR="00E14170">
              <w:rPr>
                <w:rFonts w:ascii="Georgia" w:hAnsi="Georgia" w:cs="Arial"/>
                <w:b/>
                <w:bCs/>
              </w:rPr>
              <w:t xml:space="preserve"> </w:t>
            </w:r>
            <w:r w:rsidR="000C473B">
              <w:rPr>
                <w:rFonts w:ascii="Georgia" w:hAnsi="Georgia" w:cs="Arial"/>
                <w:b/>
                <w:bCs/>
              </w:rPr>
              <w:t xml:space="preserve">ON APPLICATIONS FOR </w:t>
            </w:r>
            <w:r w:rsidR="00E14170">
              <w:rPr>
                <w:rFonts w:ascii="Georgia" w:hAnsi="Georgia" w:cs="Arial"/>
                <w:b/>
                <w:bCs/>
              </w:rPr>
              <w:t>PERMISSION TO APPEAL</w:t>
            </w:r>
          </w:p>
        </w:tc>
      </w:tr>
    </w:tbl>
    <w:p w14:paraId="1B9B0841" w14:textId="77777777" w:rsidR="006E1F59" w:rsidRDefault="006E1F59" w:rsidP="00846312">
      <w:pPr>
        <w:autoSpaceDE w:val="0"/>
        <w:autoSpaceDN w:val="0"/>
        <w:adjustRightInd w:val="0"/>
        <w:spacing w:after="360"/>
        <w:jc w:val="both"/>
        <w:rPr>
          <w:rFonts w:ascii="Georgia" w:hAnsi="Georgia" w:cs="Arial"/>
          <w:b/>
          <w:bCs/>
        </w:rPr>
      </w:pPr>
      <w:bookmarkStart w:id="0" w:name="_Hlk39217977"/>
    </w:p>
    <w:bookmarkEnd w:id="0"/>
    <w:p w14:paraId="29F72DD9" w14:textId="77777777" w:rsidR="005E500E" w:rsidRDefault="005E500E" w:rsidP="006E1F59">
      <w:pPr>
        <w:autoSpaceDE w:val="0"/>
        <w:autoSpaceDN w:val="0"/>
        <w:adjustRightInd w:val="0"/>
        <w:spacing w:after="360"/>
        <w:rPr>
          <w:rFonts w:ascii="Georgia" w:hAnsi="Georgia" w:cs="Arial"/>
          <w:b/>
          <w:u w:val="single"/>
        </w:rPr>
      </w:pPr>
    </w:p>
    <w:p w14:paraId="371807B8" w14:textId="77777777" w:rsidR="005E500E" w:rsidRDefault="005E500E" w:rsidP="006E1F59">
      <w:pPr>
        <w:autoSpaceDE w:val="0"/>
        <w:autoSpaceDN w:val="0"/>
        <w:adjustRightInd w:val="0"/>
        <w:spacing w:after="360"/>
        <w:rPr>
          <w:rFonts w:ascii="Georgia" w:hAnsi="Georgia" w:cs="Arial"/>
          <w:b/>
          <w:u w:val="single"/>
        </w:rPr>
      </w:pPr>
    </w:p>
    <w:p w14:paraId="4F1B2C33" w14:textId="0AA6ABC3" w:rsidR="006E1F59" w:rsidRDefault="006E1F59" w:rsidP="006E1F59">
      <w:pPr>
        <w:autoSpaceDE w:val="0"/>
        <w:autoSpaceDN w:val="0"/>
        <w:adjustRightInd w:val="0"/>
        <w:spacing w:after="360"/>
        <w:rPr>
          <w:rFonts w:ascii="Georgia" w:hAnsi="Georgia" w:cs="Arial"/>
        </w:rPr>
      </w:pPr>
      <w:r w:rsidRPr="0046328F">
        <w:rPr>
          <w:rFonts w:ascii="Georgia" w:hAnsi="Georgia" w:cs="Arial"/>
          <w:b/>
          <w:u w:val="single"/>
        </w:rPr>
        <w:lastRenderedPageBreak/>
        <w:t>Covid-19 pandemic: d</w:t>
      </w:r>
      <w:r>
        <w:rPr>
          <w:rFonts w:ascii="Georgia" w:hAnsi="Georgia" w:cs="Arial"/>
          <w:b/>
          <w:u w:val="single"/>
        </w:rPr>
        <w:t xml:space="preserve">escription of determination </w:t>
      </w:r>
    </w:p>
    <w:p w14:paraId="607B90D8" w14:textId="77777777" w:rsidR="006E1F59" w:rsidRDefault="006E1F59" w:rsidP="006E1F59">
      <w:pPr>
        <w:autoSpaceDE w:val="0"/>
        <w:autoSpaceDN w:val="0"/>
        <w:adjustRightInd w:val="0"/>
        <w:spacing w:after="360"/>
        <w:jc w:val="both"/>
        <w:rPr>
          <w:rFonts w:ascii="Georgia" w:hAnsi="Georgia" w:cs="Arial"/>
        </w:rPr>
      </w:pPr>
      <w:r w:rsidRPr="0046328F">
        <w:rPr>
          <w:rFonts w:ascii="Georgia" w:hAnsi="Georgia" w:cs="Arial"/>
        </w:rPr>
        <w:t xml:space="preserve">This has been a </w:t>
      </w:r>
      <w:r>
        <w:rPr>
          <w:rFonts w:ascii="Georgia" w:hAnsi="Georgia" w:cs="Arial"/>
        </w:rPr>
        <w:t xml:space="preserve">determination </w:t>
      </w:r>
      <w:r w:rsidRPr="0046328F">
        <w:rPr>
          <w:rFonts w:ascii="Georgia" w:hAnsi="Georgia" w:cs="Arial"/>
        </w:rPr>
        <w:t>on the papers which has not objected to by the parties. The form of remote hearing was P:PAPERREMOTE</w:t>
      </w:r>
      <w:r>
        <w:rPr>
          <w:rFonts w:ascii="Georgia" w:hAnsi="Georgia" w:cs="Arial"/>
        </w:rPr>
        <w:t xml:space="preserve">. </w:t>
      </w:r>
      <w:r w:rsidRPr="0046328F">
        <w:rPr>
          <w:rFonts w:ascii="Georgia" w:hAnsi="Georgia" w:cs="Arial"/>
        </w:rPr>
        <w:t xml:space="preserve">A face-to-face hearing was not held because all issues could be determined on paper. </w:t>
      </w:r>
    </w:p>
    <w:p w14:paraId="3545A5D0" w14:textId="25985D36" w:rsidR="00250326" w:rsidRPr="009167E8" w:rsidRDefault="00250326" w:rsidP="009C2DC1">
      <w:pPr>
        <w:spacing w:after="240"/>
        <w:jc w:val="both"/>
        <w:rPr>
          <w:rFonts w:ascii="Georgia" w:hAnsi="Georgia" w:cs="Arial"/>
          <w:b/>
          <w:smallCaps/>
          <w:u w:val="single"/>
        </w:rPr>
      </w:pPr>
      <w:r w:rsidRPr="009167E8">
        <w:rPr>
          <w:rFonts w:ascii="Georgia" w:hAnsi="Georgia" w:cs="Arial"/>
          <w:b/>
          <w:smallCaps/>
          <w:u w:val="single"/>
        </w:rPr>
        <w:t>Decision of the tribunal</w:t>
      </w:r>
    </w:p>
    <w:p w14:paraId="00D9A2D8" w14:textId="7643E4DD" w:rsidR="00A02612" w:rsidRPr="00675238" w:rsidRDefault="00250326" w:rsidP="000964FA">
      <w:pPr>
        <w:numPr>
          <w:ilvl w:val="0"/>
          <w:numId w:val="8"/>
        </w:numPr>
        <w:spacing w:after="120"/>
        <w:jc w:val="both"/>
        <w:rPr>
          <w:rFonts w:ascii="Georgia" w:hAnsi="Georgia" w:cs="Arial"/>
        </w:rPr>
      </w:pPr>
      <w:r w:rsidRPr="00675238">
        <w:rPr>
          <w:rFonts w:ascii="Georgia" w:hAnsi="Georgia" w:cs="Arial"/>
        </w:rPr>
        <w:t xml:space="preserve">The tribunal has considered </w:t>
      </w:r>
      <w:r w:rsidR="00A02612" w:rsidRPr="00675238">
        <w:rPr>
          <w:rFonts w:ascii="Georgia" w:hAnsi="Georgia" w:cs="Arial"/>
        </w:rPr>
        <w:t xml:space="preserve">two </w:t>
      </w:r>
      <w:r w:rsidR="006105FA">
        <w:rPr>
          <w:rFonts w:ascii="Georgia" w:hAnsi="Georgia" w:cs="Arial"/>
        </w:rPr>
        <w:t xml:space="preserve">applications </w:t>
      </w:r>
      <w:r w:rsidRPr="00675238">
        <w:rPr>
          <w:rFonts w:ascii="Georgia" w:hAnsi="Georgia" w:cs="Arial"/>
        </w:rPr>
        <w:t xml:space="preserve">for permission to appeal </w:t>
      </w:r>
      <w:r w:rsidR="00737E79" w:rsidRPr="00675238">
        <w:rPr>
          <w:rFonts w:ascii="Georgia" w:hAnsi="Georgia" w:cs="Arial"/>
        </w:rPr>
        <w:t xml:space="preserve">its </w:t>
      </w:r>
      <w:r w:rsidR="00A02612" w:rsidRPr="00675238">
        <w:rPr>
          <w:rFonts w:ascii="Georgia" w:hAnsi="Georgia" w:cs="Arial"/>
        </w:rPr>
        <w:t xml:space="preserve">decision </w:t>
      </w:r>
      <w:r w:rsidRPr="00675238">
        <w:rPr>
          <w:rFonts w:ascii="Georgia" w:hAnsi="Georgia" w:cs="Arial"/>
        </w:rPr>
        <w:t xml:space="preserve">dated </w:t>
      </w:r>
      <w:r w:rsidR="00F430D0" w:rsidRPr="00675238">
        <w:rPr>
          <w:rFonts w:ascii="Georgia" w:hAnsi="Georgia" w:cs="Arial"/>
        </w:rPr>
        <w:t>2</w:t>
      </w:r>
      <w:r w:rsidR="00277490" w:rsidRPr="00675238">
        <w:rPr>
          <w:rFonts w:ascii="Georgia" w:hAnsi="Georgia" w:cs="Arial"/>
        </w:rPr>
        <w:t>1</w:t>
      </w:r>
      <w:r w:rsidR="00F430D0" w:rsidRPr="00675238">
        <w:rPr>
          <w:rFonts w:ascii="Georgia" w:hAnsi="Georgia" w:cs="Arial"/>
        </w:rPr>
        <w:t xml:space="preserve"> December </w:t>
      </w:r>
      <w:r w:rsidR="00A02612" w:rsidRPr="00675238">
        <w:rPr>
          <w:rFonts w:ascii="Georgia" w:hAnsi="Georgia" w:cs="Arial"/>
        </w:rPr>
        <w:t xml:space="preserve">2022: (a) </w:t>
      </w:r>
      <w:r w:rsidR="009A28F5" w:rsidRPr="00675238">
        <w:rPr>
          <w:rFonts w:ascii="Georgia" w:hAnsi="Georgia" w:cs="Arial"/>
        </w:rPr>
        <w:t xml:space="preserve">the </w:t>
      </w:r>
      <w:r w:rsidR="003567E0" w:rsidRPr="00675238">
        <w:rPr>
          <w:rFonts w:ascii="Georgia" w:hAnsi="Georgia" w:cs="Arial"/>
        </w:rPr>
        <w:t xml:space="preserve">leaseholder Applicants’ </w:t>
      </w:r>
      <w:r w:rsidR="004F2D36" w:rsidRPr="00675238">
        <w:rPr>
          <w:rFonts w:ascii="Georgia" w:hAnsi="Georgia" w:cs="Arial"/>
        </w:rPr>
        <w:t xml:space="preserve">application dated </w:t>
      </w:r>
      <w:r w:rsidR="001D205B" w:rsidRPr="00675238">
        <w:rPr>
          <w:rFonts w:ascii="Georgia" w:hAnsi="Georgia" w:cs="Arial"/>
        </w:rPr>
        <w:t>6 February 2023</w:t>
      </w:r>
      <w:r w:rsidR="004F2D36" w:rsidRPr="00675238">
        <w:rPr>
          <w:rFonts w:ascii="Georgia" w:hAnsi="Georgia" w:cs="Arial"/>
        </w:rPr>
        <w:t xml:space="preserve">; and (b) the </w:t>
      </w:r>
      <w:r w:rsidR="00737E79" w:rsidRPr="00675238">
        <w:rPr>
          <w:rFonts w:ascii="Georgia" w:hAnsi="Georgia" w:cs="Arial"/>
        </w:rPr>
        <w:t xml:space="preserve">application made by </w:t>
      </w:r>
      <w:r w:rsidR="004F2D36" w:rsidRPr="00675238">
        <w:rPr>
          <w:rFonts w:ascii="Georgia" w:hAnsi="Georgia" w:cs="Arial"/>
        </w:rPr>
        <w:t xml:space="preserve"> </w:t>
      </w:r>
      <w:r w:rsidR="00693C79" w:rsidRPr="00675238">
        <w:rPr>
          <w:rFonts w:ascii="Georgia" w:hAnsi="Georgia" w:cs="Arial"/>
        </w:rPr>
        <w:t xml:space="preserve">Canary Riverside Estate Management Limited </w:t>
      </w:r>
      <w:r w:rsidR="00675238">
        <w:rPr>
          <w:rFonts w:ascii="Georgia" w:hAnsi="Georgia" w:cs="Arial"/>
        </w:rPr>
        <w:t xml:space="preserve">and </w:t>
      </w:r>
      <w:r w:rsidR="00693C79" w:rsidRPr="00675238">
        <w:rPr>
          <w:rFonts w:ascii="Georgia" w:hAnsi="Georgia" w:cs="Arial"/>
        </w:rPr>
        <w:t>Octagon Overseas Limited</w:t>
      </w:r>
      <w:r w:rsidR="006255E1">
        <w:rPr>
          <w:rFonts w:ascii="Georgia" w:hAnsi="Georgia" w:cs="Arial"/>
        </w:rPr>
        <w:t xml:space="preserve"> (together “the Landlords”)</w:t>
      </w:r>
      <w:r w:rsidR="001D205B" w:rsidRPr="00675238">
        <w:rPr>
          <w:rFonts w:ascii="Georgia" w:hAnsi="Georgia" w:cs="Arial"/>
        </w:rPr>
        <w:t>, a</w:t>
      </w:r>
      <w:r w:rsidR="004F2D36" w:rsidRPr="00675238">
        <w:rPr>
          <w:rFonts w:ascii="Georgia" w:hAnsi="Georgia" w:cs="Arial"/>
        </w:rPr>
        <w:t xml:space="preserve">lso dated </w:t>
      </w:r>
      <w:r w:rsidR="001D205B" w:rsidRPr="00675238">
        <w:rPr>
          <w:rFonts w:ascii="Georgia" w:hAnsi="Georgia" w:cs="Arial"/>
        </w:rPr>
        <w:t xml:space="preserve">6 </w:t>
      </w:r>
      <w:r w:rsidR="00461C3A" w:rsidRPr="00675238">
        <w:rPr>
          <w:rFonts w:ascii="Georgia" w:hAnsi="Georgia" w:cs="Arial"/>
        </w:rPr>
        <w:t>F</w:t>
      </w:r>
      <w:r w:rsidR="001D205B" w:rsidRPr="00675238">
        <w:rPr>
          <w:rFonts w:ascii="Georgia" w:hAnsi="Georgia" w:cs="Arial"/>
        </w:rPr>
        <w:t>ebruary 202</w:t>
      </w:r>
      <w:r w:rsidR="00461C3A" w:rsidRPr="00675238">
        <w:rPr>
          <w:rFonts w:ascii="Georgia" w:hAnsi="Georgia" w:cs="Arial"/>
        </w:rPr>
        <w:t>3</w:t>
      </w:r>
      <w:r w:rsidR="004F2D36" w:rsidRPr="00675238">
        <w:rPr>
          <w:rFonts w:ascii="Georgia" w:hAnsi="Georgia" w:cs="Arial"/>
        </w:rPr>
        <w:t xml:space="preserve">. </w:t>
      </w:r>
      <w:r w:rsidR="00461C3A" w:rsidRPr="00675238">
        <w:rPr>
          <w:rFonts w:ascii="Georgia" w:hAnsi="Georgia" w:cs="Arial"/>
        </w:rPr>
        <w:t xml:space="preserve"> </w:t>
      </w:r>
      <w:r w:rsidR="00C0264A">
        <w:rPr>
          <w:rFonts w:ascii="Georgia" w:hAnsi="Georgia" w:cs="Arial"/>
        </w:rPr>
        <w:t>As t</w:t>
      </w:r>
      <w:r w:rsidR="00461C3A" w:rsidRPr="00675238">
        <w:rPr>
          <w:rFonts w:ascii="Georgia" w:hAnsi="Georgia" w:cs="Arial"/>
        </w:rPr>
        <w:t xml:space="preserve">he tribunal </w:t>
      </w:r>
      <w:r w:rsidR="006105FA">
        <w:rPr>
          <w:rFonts w:ascii="Georgia" w:hAnsi="Georgia" w:cs="Arial"/>
        </w:rPr>
        <w:t xml:space="preserve">extended time </w:t>
      </w:r>
      <w:r w:rsidR="00461C3A" w:rsidRPr="00675238">
        <w:rPr>
          <w:rFonts w:ascii="Georgia" w:hAnsi="Georgia" w:cs="Arial"/>
        </w:rPr>
        <w:t xml:space="preserve">to appeal its decision </w:t>
      </w:r>
      <w:r w:rsidR="006105FA">
        <w:rPr>
          <w:rFonts w:ascii="Georgia" w:hAnsi="Georgia" w:cs="Arial"/>
        </w:rPr>
        <w:t xml:space="preserve">over </w:t>
      </w:r>
      <w:r w:rsidR="00461C3A" w:rsidRPr="00675238">
        <w:rPr>
          <w:rFonts w:ascii="Georgia" w:hAnsi="Georgia" w:cs="Arial"/>
        </w:rPr>
        <w:t>to 6 February, both applications were received in time.</w:t>
      </w:r>
    </w:p>
    <w:p w14:paraId="4BF6E192" w14:textId="0A102AF6" w:rsidR="00FA6A2C" w:rsidRDefault="004F2D36" w:rsidP="009C2DC1">
      <w:pPr>
        <w:numPr>
          <w:ilvl w:val="0"/>
          <w:numId w:val="8"/>
        </w:numPr>
        <w:spacing w:after="120"/>
        <w:ind w:hanging="720"/>
        <w:jc w:val="both"/>
        <w:rPr>
          <w:rFonts w:ascii="Georgia" w:hAnsi="Georgia" w:cs="Arial"/>
        </w:rPr>
      </w:pPr>
      <w:r>
        <w:rPr>
          <w:rFonts w:ascii="Georgia" w:hAnsi="Georgia" w:cs="Arial"/>
        </w:rPr>
        <w:t xml:space="preserve">The tribunal </w:t>
      </w:r>
      <w:r w:rsidR="00250326" w:rsidRPr="00250326">
        <w:rPr>
          <w:rFonts w:ascii="Georgia" w:hAnsi="Georgia" w:cs="Arial"/>
        </w:rPr>
        <w:t>determines</w:t>
      </w:r>
      <w:r w:rsidR="008A7A04">
        <w:rPr>
          <w:rFonts w:ascii="Georgia" w:hAnsi="Georgia" w:cs="Arial"/>
        </w:rPr>
        <w:t>,</w:t>
      </w:r>
      <w:r w:rsidR="003E0AD2">
        <w:rPr>
          <w:rFonts w:ascii="Georgia" w:hAnsi="Georgia" w:cs="Arial"/>
        </w:rPr>
        <w:t xml:space="preserve"> in respect of </w:t>
      </w:r>
      <w:r w:rsidR="00C0264A">
        <w:rPr>
          <w:rFonts w:ascii="Georgia" w:hAnsi="Georgia" w:cs="Arial"/>
        </w:rPr>
        <w:t xml:space="preserve">the </w:t>
      </w:r>
      <w:r w:rsidR="00C0264A" w:rsidRPr="0061634F">
        <w:rPr>
          <w:rFonts w:ascii="Georgia" w:hAnsi="Georgia" w:cs="Arial"/>
          <w:b/>
          <w:bCs/>
        </w:rPr>
        <w:t>Applicants’</w:t>
      </w:r>
      <w:r w:rsidR="00C0264A">
        <w:rPr>
          <w:rFonts w:ascii="Georgia" w:hAnsi="Georgia" w:cs="Arial"/>
        </w:rPr>
        <w:t xml:space="preserve"> </w:t>
      </w:r>
      <w:r w:rsidR="003E0AD2">
        <w:rPr>
          <w:rFonts w:ascii="Georgia" w:hAnsi="Georgia" w:cs="Arial"/>
        </w:rPr>
        <w:t>application</w:t>
      </w:r>
      <w:r w:rsidR="008A7A04">
        <w:rPr>
          <w:rFonts w:ascii="Georgia" w:hAnsi="Georgia" w:cs="Arial"/>
        </w:rPr>
        <w:t>, that</w:t>
      </w:r>
      <w:r w:rsidR="00FA6A2C">
        <w:rPr>
          <w:rFonts w:ascii="Georgia" w:hAnsi="Georgia" w:cs="Arial"/>
        </w:rPr>
        <w:t>:</w:t>
      </w:r>
    </w:p>
    <w:p w14:paraId="5938830B" w14:textId="77777777" w:rsidR="00FA6A2C" w:rsidRDefault="009C4C42" w:rsidP="009C2DC1">
      <w:pPr>
        <w:numPr>
          <w:ilvl w:val="1"/>
          <w:numId w:val="8"/>
        </w:numPr>
        <w:tabs>
          <w:tab w:val="clear" w:pos="1440"/>
          <w:tab w:val="num" w:pos="1260"/>
        </w:tabs>
        <w:spacing w:after="120"/>
        <w:ind w:left="1260" w:hanging="540"/>
        <w:jc w:val="both"/>
        <w:rPr>
          <w:rFonts w:ascii="Georgia" w:hAnsi="Georgia" w:cs="Arial"/>
        </w:rPr>
      </w:pPr>
      <w:r>
        <w:rPr>
          <w:rFonts w:ascii="Georgia" w:hAnsi="Georgia" w:cs="Arial"/>
        </w:rPr>
        <w:t>i</w:t>
      </w:r>
      <w:r w:rsidR="00FA6A2C">
        <w:rPr>
          <w:rFonts w:ascii="Georgia" w:hAnsi="Georgia" w:cs="Arial"/>
        </w:rPr>
        <w:t>t will not review its decision</w:t>
      </w:r>
      <w:r w:rsidR="009564E2">
        <w:rPr>
          <w:rFonts w:ascii="Georgia" w:hAnsi="Georgia" w:cs="Arial"/>
        </w:rPr>
        <w:t>;</w:t>
      </w:r>
      <w:r w:rsidR="00FA6A2C">
        <w:rPr>
          <w:rFonts w:ascii="Georgia" w:hAnsi="Georgia" w:cs="Arial"/>
        </w:rPr>
        <w:t xml:space="preserve"> and</w:t>
      </w:r>
    </w:p>
    <w:p w14:paraId="68081123" w14:textId="72451AC7" w:rsidR="00250326" w:rsidRDefault="00250326" w:rsidP="009C2DC1">
      <w:pPr>
        <w:numPr>
          <w:ilvl w:val="1"/>
          <w:numId w:val="8"/>
        </w:numPr>
        <w:tabs>
          <w:tab w:val="clear" w:pos="1440"/>
          <w:tab w:val="num" w:pos="1260"/>
        </w:tabs>
        <w:spacing w:after="240"/>
        <w:ind w:left="1260" w:hanging="540"/>
        <w:jc w:val="both"/>
        <w:rPr>
          <w:rFonts w:ascii="Georgia" w:hAnsi="Georgia" w:cs="Arial"/>
        </w:rPr>
      </w:pPr>
      <w:r w:rsidRPr="00250326">
        <w:rPr>
          <w:rFonts w:ascii="Georgia" w:hAnsi="Georgia" w:cs="Arial"/>
        </w:rPr>
        <w:t>permission be refused.</w:t>
      </w:r>
    </w:p>
    <w:p w14:paraId="610A593E" w14:textId="3ED8765B" w:rsidR="003E0AD2" w:rsidRDefault="003E0AD2" w:rsidP="003E0AD2">
      <w:pPr>
        <w:numPr>
          <w:ilvl w:val="0"/>
          <w:numId w:val="8"/>
        </w:numPr>
        <w:spacing w:after="120"/>
        <w:ind w:hanging="720"/>
        <w:jc w:val="both"/>
        <w:rPr>
          <w:rFonts w:ascii="Georgia" w:hAnsi="Georgia" w:cs="Arial"/>
        </w:rPr>
      </w:pPr>
      <w:r>
        <w:rPr>
          <w:rFonts w:ascii="Georgia" w:hAnsi="Georgia" w:cs="Arial"/>
        </w:rPr>
        <w:t xml:space="preserve">The tribunal </w:t>
      </w:r>
      <w:r w:rsidRPr="00250326">
        <w:rPr>
          <w:rFonts w:ascii="Georgia" w:hAnsi="Georgia" w:cs="Arial"/>
        </w:rPr>
        <w:t>determines</w:t>
      </w:r>
      <w:r w:rsidR="008A7A04">
        <w:rPr>
          <w:rFonts w:ascii="Georgia" w:hAnsi="Georgia" w:cs="Arial"/>
        </w:rPr>
        <w:t xml:space="preserve">, </w:t>
      </w:r>
      <w:r>
        <w:rPr>
          <w:rFonts w:ascii="Georgia" w:hAnsi="Georgia" w:cs="Arial"/>
        </w:rPr>
        <w:t xml:space="preserve">in respect of the </w:t>
      </w:r>
      <w:r w:rsidRPr="0061634F">
        <w:rPr>
          <w:rFonts w:ascii="Georgia" w:hAnsi="Georgia" w:cs="Arial"/>
          <w:b/>
          <w:bCs/>
        </w:rPr>
        <w:t>Landlords’</w:t>
      </w:r>
      <w:r>
        <w:rPr>
          <w:rFonts w:ascii="Georgia" w:hAnsi="Georgia" w:cs="Arial"/>
        </w:rPr>
        <w:t xml:space="preserve"> application</w:t>
      </w:r>
      <w:r w:rsidR="008A7A04">
        <w:rPr>
          <w:rFonts w:ascii="Georgia" w:hAnsi="Georgia" w:cs="Arial"/>
        </w:rPr>
        <w:t>, that</w:t>
      </w:r>
      <w:r>
        <w:rPr>
          <w:rFonts w:ascii="Georgia" w:hAnsi="Georgia" w:cs="Arial"/>
        </w:rPr>
        <w:t>:</w:t>
      </w:r>
    </w:p>
    <w:p w14:paraId="0EF8046D" w14:textId="4BD80B6D" w:rsidR="003E0AD2" w:rsidRDefault="008A7A04" w:rsidP="003E0AD2">
      <w:pPr>
        <w:numPr>
          <w:ilvl w:val="1"/>
          <w:numId w:val="8"/>
        </w:numPr>
        <w:tabs>
          <w:tab w:val="clear" w:pos="1440"/>
          <w:tab w:val="num" w:pos="1260"/>
        </w:tabs>
        <w:spacing w:after="120"/>
        <w:ind w:left="1260" w:hanging="540"/>
        <w:jc w:val="both"/>
        <w:rPr>
          <w:rFonts w:ascii="Georgia" w:hAnsi="Georgia" w:cs="Arial"/>
        </w:rPr>
      </w:pPr>
      <w:r>
        <w:rPr>
          <w:rFonts w:ascii="Georgia" w:hAnsi="Georgia" w:cs="Arial"/>
        </w:rPr>
        <w:t xml:space="preserve">permission to appeal is granted </w:t>
      </w:r>
      <w:r w:rsidR="00277BA2">
        <w:rPr>
          <w:rFonts w:ascii="Georgia" w:hAnsi="Georgia" w:cs="Arial"/>
        </w:rPr>
        <w:t>in respect of grounds two and four</w:t>
      </w:r>
      <w:r w:rsidR="0009603D">
        <w:rPr>
          <w:rFonts w:ascii="Georgia" w:hAnsi="Georgia" w:cs="Arial"/>
        </w:rPr>
        <w:t>; and</w:t>
      </w:r>
      <w:r w:rsidR="001765A8">
        <w:rPr>
          <w:rFonts w:ascii="Georgia" w:hAnsi="Georgia" w:cs="Arial"/>
        </w:rPr>
        <w:t xml:space="preserve"> </w:t>
      </w:r>
    </w:p>
    <w:p w14:paraId="5BCE7894" w14:textId="762AE8D2" w:rsidR="003E0AD2" w:rsidRDefault="003E0AD2" w:rsidP="003E0AD2">
      <w:pPr>
        <w:numPr>
          <w:ilvl w:val="1"/>
          <w:numId w:val="8"/>
        </w:numPr>
        <w:tabs>
          <w:tab w:val="clear" w:pos="1440"/>
          <w:tab w:val="num" w:pos="1260"/>
        </w:tabs>
        <w:spacing w:after="240"/>
        <w:ind w:left="1260" w:hanging="540"/>
        <w:jc w:val="both"/>
        <w:rPr>
          <w:rFonts w:ascii="Georgia" w:hAnsi="Georgia" w:cs="Arial"/>
        </w:rPr>
      </w:pPr>
      <w:r w:rsidRPr="00250326">
        <w:rPr>
          <w:rFonts w:ascii="Georgia" w:hAnsi="Georgia" w:cs="Arial"/>
        </w:rPr>
        <w:t xml:space="preserve">permission </w:t>
      </w:r>
      <w:r w:rsidR="00693E00">
        <w:rPr>
          <w:rFonts w:ascii="Georgia" w:hAnsi="Georgia" w:cs="Arial"/>
        </w:rPr>
        <w:t>is</w:t>
      </w:r>
      <w:r w:rsidRPr="00250326">
        <w:rPr>
          <w:rFonts w:ascii="Georgia" w:hAnsi="Georgia" w:cs="Arial"/>
        </w:rPr>
        <w:t xml:space="preserve"> refused</w:t>
      </w:r>
      <w:r w:rsidR="0003239A">
        <w:rPr>
          <w:rFonts w:ascii="Georgia" w:hAnsi="Georgia" w:cs="Arial"/>
        </w:rPr>
        <w:t xml:space="preserve"> on grounds</w:t>
      </w:r>
      <w:r w:rsidR="0009603D">
        <w:rPr>
          <w:rFonts w:ascii="Georgia" w:hAnsi="Georgia" w:cs="Arial"/>
        </w:rPr>
        <w:t xml:space="preserve"> </w:t>
      </w:r>
      <w:r w:rsidR="0009603D" w:rsidRPr="0009603D">
        <w:rPr>
          <w:rFonts w:ascii="Georgia" w:hAnsi="Georgia" w:cs="Arial"/>
        </w:rPr>
        <w:t>one, three, five and six</w:t>
      </w:r>
      <w:r w:rsidRPr="00250326">
        <w:rPr>
          <w:rFonts w:ascii="Georgia" w:hAnsi="Georgia" w:cs="Arial"/>
        </w:rPr>
        <w:t>.</w:t>
      </w:r>
    </w:p>
    <w:p w14:paraId="18866B3F" w14:textId="6746479B" w:rsidR="00250326" w:rsidRDefault="71C429B0" w:rsidP="009C2DC1">
      <w:pPr>
        <w:numPr>
          <w:ilvl w:val="0"/>
          <w:numId w:val="8"/>
        </w:numPr>
        <w:tabs>
          <w:tab w:val="num" w:pos="1440"/>
        </w:tabs>
        <w:spacing w:after="240"/>
        <w:ind w:hanging="720"/>
        <w:jc w:val="both"/>
        <w:rPr>
          <w:rFonts w:ascii="Georgia" w:eastAsia="Georgia" w:hAnsi="Georgia" w:cs="Georgia"/>
        </w:rPr>
      </w:pPr>
      <w:r w:rsidRPr="71C429B0">
        <w:rPr>
          <w:rFonts w:ascii="Georgia" w:eastAsia="Georgia" w:hAnsi="Georgia" w:cs="Georgia"/>
        </w:rPr>
        <w:t>You may make a further application for permission to appeal to the Upper Tribunal (Lands Chamber). Any such application must be made no later than 14 days after the date on which the First-tier Tribunal sent notice of this refusal to the party applying for permission to appeal.</w:t>
      </w:r>
      <w:bookmarkStart w:id="1" w:name="_Hlk38362443"/>
    </w:p>
    <w:p w14:paraId="2FC771EC" w14:textId="2948FE7E" w:rsidR="00CA3351" w:rsidRPr="00CA3351" w:rsidRDefault="71C429B0" w:rsidP="009C2DC1">
      <w:pPr>
        <w:numPr>
          <w:ilvl w:val="0"/>
          <w:numId w:val="8"/>
        </w:numPr>
        <w:tabs>
          <w:tab w:val="num" w:pos="1440"/>
        </w:tabs>
        <w:spacing w:after="240"/>
        <w:ind w:hanging="720"/>
        <w:jc w:val="both"/>
        <w:rPr>
          <w:rFonts w:ascii="Georgia" w:eastAsia="Georgia" w:hAnsi="Georgia" w:cs="Georgia"/>
        </w:rPr>
      </w:pPr>
      <w:r w:rsidRPr="71C429B0">
        <w:rPr>
          <w:rFonts w:ascii="Georgia" w:eastAsia="Georgia" w:hAnsi="Georgia" w:cs="Georgia"/>
        </w:rPr>
        <w:t xml:space="preserve">Where possible, you should make your further application for permission to appeal on-line using the Upper Tribunal’s on-line document filing system, called CE-File. This will enable the Upper Tribunal to deal with it more efficiently and will enable you to follow the progress of your application and submit any additional documents quickly and easily.  Information about how to register to use CE-File can be found by going to this web address: </w:t>
      </w:r>
      <w:hyperlink r:id="rId12">
        <w:r w:rsidRPr="71C429B0">
          <w:rPr>
            <w:rStyle w:val="Hyperlink"/>
            <w:rFonts w:ascii="Georgia" w:eastAsia="Georgia" w:hAnsi="Georgia" w:cs="Georgia"/>
          </w:rPr>
          <w:t>https://www.judiciary.uk/wp-content/uploads/2021/07/Practice-Note-on-CE-filing-Lands-Chamber-17.6.21_.pdf</w:t>
        </w:r>
      </w:hyperlink>
    </w:p>
    <w:p w14:paraId="74B3CE83" w14:textId="1A8A56AE" w:rsidR="00CA3351" w:rsidRPr="00CA3351" w:rsidRDefault="71C429B0" w:rsidP="009C2DC1">
      <w:pPr>
        <w:numPr>
          <w:ilvl w:val="0"/>
          <w:numId w:val="8"/>
        </w:numPr>
        <w:tabs>
          <w:tab w:val="num" w:pos="1440"/>
        </w:tabs>
        <w:spacing w:after="240"/>
        <w:ind w:hanging="720"/>
        <w:jc w:val="both"/>
        <w:rPr>
          <w:rFonts w:ascii="Georgia" w:eastAsia="Georgia" w:hAnsi="Georgia" w:cs="Georgia"/>
        </w:rPr>
      </w:pPr>
      <w:r w:rsidRPr="71C429B0">
        <w:rPr>
          <w:rFonts w:ascii="Georgia" w:eastAsia="Georgia" w:hAnsi="Georgia" w:cs="Georgia"/>
        </w:rPr>
        <w:t xml:space="preserve">Alternatively, you can submit your application for permission to appeal by email to: </w:t>
      </w:r>
      <w:hyperlink r:id="rId13">
        <w:r w:rsidR="00CA3351" w:rsidRPr="71C429B0">
          <w:rPr>
            <w:rStyle w:val="Hyperlink"/>
            <w:rFonts w:ascii="Georgia" w:hAnsi="Georgia"/>
          </w:rPr>
          <w:t>Lands@justice.gov.uk</w:t>
        </w:r>
      </w:hyperlink>
      <w:r w:rsidR="00CA3351" w:rsidRPr="71C429B0">
        <w:rPr>
          <w:rFonts w:ascii="Georgia" w:hAnsi="Georgia"/>
        </w:rPr>
        <w:t xml:space="preserve">.  </w:t>
      </w:r>
    </w:p>
    <w:p w14:paraId="77CD0934" w14:textId="45DD23D9" w:rsidR="001B3B3A" w:rsidRPr="00390E53" w:rsidRDefault="00CA3351" w:rsidP="009C2DC1">
      <w:pPr>
        <w:numPr>
          <w:ilvl w:val="0"/>
          <w:numId w:val="8"/>
        </w:numPr>
        <w:tabs>
          <w:tab w:val="num" w:pos="1440"/>
        </w:tabs>
        <w:spacing w:after="240"/>
        <w:ind w:hanging="720"/>
        <w:jc w:val="both"/>
        <w:rPr>
          <w:rFonts w:ascii="Georgia" w:eastAsia="Georgia" w:hAnsi="Georgia" w:cs="Georgia"/>
        </w:rPr>
      </w:pPr>
      <w:r w:rsidRPr="71C429B0">
        <w:rPr>
          <w:rFonts w:ascii="Georgia" w:hAnsi="Georgia" w:cs="Arial"/>
        </w:rPr>
        <w:t>T</w:t>
      </w:r>
      <w:r w:rsidR="001B3B3A" w:rsidRPr="71C429B0">
        <w:rPr>
          <w:rFonts w:ascii="Georgia" w:hAnsi="Georgia" w:cs="Arial"/>
        </w:rPr>
        <w:t>he Upper Tribunal can also be contacted by post or by telephone at: Upper Tribunal (Lands Chamber), 5th Floor, Rolls Building, 7 Rolls Buildings, Fetter Lane, London EC4A 1NL (Tel: 020 7612 9710)</w:t>
      </w:r>
      <w:r w:rsidRPr="71C429B0">
        <w:rPr>
          <w:rFonts w:ascii="Georgia" w:hAnsi="Georgia" w:cs="Arial"/>
        </w:rPr>
        <w:t>.</w:t>
      </w:r>
    </w:p>
    <w:p w14:paraId="4FB527BA" w14:textId="77D3B3DC" w:rsidR="00390E53" w:rsidRDefault="00390E53" w:rsidP="00390E53">
      <w:pPr>
        <w:tabs>
          <w:tab w:val="num" w:pos="1440"/>
        </w:tabs>
        <w:spacing w:after="240"/>
        <w:ind w:left="720"/>
        <w:jc w:val="both"/>
        <w:rPr>
          <w:rFonts w:ascii="Georgia" w:hAnsi="Georgia" w:cs="Arial"/>
        </w:rPr>
      </w:pPr>
    </w:p>
    <w:p w14:paraId="0FA80559" w14:textId="77777777" w:rsidR="00390E53" w:rsidRPr="00CA3351" w:rsidRDefault="00390E53" w:rsidP="00390E53">
      <w:pPr>
        <w:tabs>
          <w:tab w:val="num" w:pos="1440"/>
        </w:tabs>
        <w:spacing w:after="240"/>
        <w:ind w:left="720"/>
        <w:jc w:val="both"/>
        <w:rPr>
          <w:rFonts w:ascii="Georgia" w:eastAsia="Georgia" w:hAnsi="Georgia" w:cs="Georgia"/>
        </w:rPr>
      </w:pPr>
    </w:p>
    <w:bookmarkEnd w:id="1"/>
    <w:p w14:paraId="0FE70E5F" w14:textId="6191F1F6" w:rsidR="00250326" w:rsidRPr="009167E8" w:rsidRDefault="00250326" w:rsidP="009C2DC1">
      <w:pPr>
        <w:spacing w:after="240"/>
        <w:jc w:val="both"/>
        <w:rPr>
          <w:rFonts w:ascii="Georgia" w:hAnsi="Georgia" w:cs="Arial"/>
          <w:b/>
          <w:smallCaps/>
          <w:u w:val="single"/>
        </w:rPr>
      </w:pPr>
      <w:r w:rsidRPr="009167E8">
        <w:rPr>
          <w:rFonts w:ascii="Georgia" w:hAnsi="Georgia" w:cs="Arial"/>
          <w:b/>
          <w:smallCaps/>
          <w:u w:val="single"/>
        </w:rPr>
        <w:lastRenderedPageBreak/>
        <w:t>Reason</w:t>
      </w:r>
      <w:r w:rsidR="009167E8" w:rsidRPr="009167E8">
        <w:rPr>
          <w:rFonts w:ascii="Georgia" w:hAnsi="Georgia" w:cs="Arial"/>
          <w:b/>
          <w:smallCaps/>
          <w:u w:val="single"/>
        </w:rPr>
        <w:t>s</w:t>
      </w:r>
      <w:r w:rsidRPr="009167E8">
        <w:rPr>
          <w:rFonts w:ascii="Georgia" w:hAnsi="Georgia" w:cs="Arial"/>
          <w:b/>
          <w:smallCaps/>
          <w:u w:val="single"/>
        </w:rPr>
        <w:t xml:space="preserve"> for the Decision</w:t>
      </w:r>
    </w:p>
    <w:p w14:paraId="5A9AF4F8" w14:textId="17D9B525" w:rsidR="003678F1" w:rsidRDefault="003678F1" w:rsidP="009C2DC1">
      <w:pPr>
        <w:numPr>
          <w:ilvl w:val="0"/>
          <w:numId w:val="8"/>
        </w:numPr>
        <w:spacing w:after="240"/>
        <w:ind w:hanging="720"/>
        <w:jc w:val="both"/>
        <w:rPr>
          <w:rFonts w:ascii="Georgia" w:hAnsi="Georgia" w:cs="Arial"/>
        </w:rPr>
      </w:pPr>
      <w:r w:rsidRPr="71C429B0">
        <w:rPr>
          <w:rFonts w:ascii="Georgia" w:hAnsi="Georgia" w:cs="Arial"/>
        </w:rPr>
        <w:t>For the benefit of the parties and the Upper Tribunal (Lands Chamber), the tribunal records below its comments on the grounds of appeal</w:t>
      </w:r>
      <w:r w:rsidR="009F6D31" w:rsidRPr="71C429B0">
        <w:rPr>
          <w:rFonts w:ascii="Georgia" w:hAnsi="Georgia" w:cs="Arial"/>
        </w:rPr>
        <w:t xml:space="preserve"> and any procedural points raised</w:t>
      </w:r>
      <w:r w:rsidRPr="71C429B0">
        <w:rPr>
          <w:rFonts w:ascii="Georgia" w:hAnsi="Georgia" w:cs="Arial"/>
        </w:rPr>
        <w:t xml:space="preserve">.  References in square brackets are to </w:t>
      </w:r>
      <w:r w:rsidR="0021056A">
        <w:rPr>
          <w:rFonts w:ascii="Georgia" w:hAnsi="Georgia" w:cs="Arial"/>
        </w:rPr>
        <w:t>page numbers in the hearing bundle.</w:t>
      </w:r>
    </w:p>
    <w:tbl>
      <w:tblPr>
        <w:tblStyle w:val="TableGrid"/>
        <w:tblW w:w="8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3172"/>
        <w:gridCol w:w="1081"/>
        <w:gridCol w:w="3208"/>
      </w:tblGrid>
      <w:tr w:rsidR="00B52F77" w:rsidRPr="00D274B6" w14:paraId="34E80D72" w14:textId="77777777" w:rsidTr="009167E8">
        <w:trPr>
          <w:trHeight w:val="587"/>
        </w:trPr>
        <w:tc>
          <w:tcPr>
            <w:tcW w:w="1134" w:type="dxa"/>
            <w:vAlign w:val="center"/>
          </w:tcPr>
          <w:p w14:paraId="1EBFAE59" w14:textId="77777777" w:rsidR="00B52F77" w:rsidRPr="00D274B6" w:rsidRDefault="00B52F77" w:rsidP="008A25EF">
            <w:pPr>
              <w:rPr>
                <w:rFonts w:ascii="Georgia" w:hAnsi="Georgia" w:cs="Arial"/>
                <w:b/>
              </w:rPr>
            </w:pPr>
            <w:r w:rsidRPr="00D274B6">
              <w:rPr>
                <w:rFonts w:ascii="Georgia" w:hAnsi="Georgia" w:cs="Arial"/>
                <w:b/>
              </w:rPr>
              <w:t>Name:</w:t>
            </w:r>
          </w:p>
        </w:tc>
        <w:tc>
          <w:tcPr>
            <w:tcW w:w="3172" w:type="dxa"/>
            <w:vAlign w:val="center"/>
          </w:tcPr>
          <w:p w14:paraId="3A90558A" w14:textId="5B555C2A" w:rsidR="00B52F77" w:rsidRPr="00D274B6" w:rsidRDefault="00900D16" w:rsidP="008A25EF">
            <w:pPr>
              <w:rPr>
                <w:rFonts w:ascii="Georgia" w:hAnsi="Georgia" w:cs="Arial"/>
              </w:rPr>
            </w:pPr>
            <w:r>
              <w:rPr>
                <w:rFonts w:ascii="Georgia" w:hAnsi="Georgia" w:cs="Arial"/>
              </w:rPr>
              <w:t>Amran Vance</w:t>
            </w:r>
          </w:p>
        </w:tc>
        <w:tc>
          <w:tcPr>
            <w:tcW w:w="1081" w:type="dxa"/>
            <w:vAlign w:val="center"/>
          </w:tcPr>
          <w:p w14:paraId="4E2E545E" w14:textId="77777777" w:rsidR="00B52F77" w:rsidRPr="00D274B6" w:rsidRDefault="00B52F77" w:rsidP="008A25EF">
            <w:pPr>
              <w:rPr>
                <w:rFonts w:ascii="Georgia" w:hAnsi="Georgia" w:cs="Arial"/>
                <w:b/>
              </w:rPr>
            </w:pPr>
            <w:r w:rsidRPr="00D274B6">
              <w:rPr>
                <w:rFonts w:ascii="Georgia" w:hAnsi="Georgia" w:cs="Arial"/>
                <w:b/>
              </w:rPr>
              <w:t>Date:</w:t>
            </w:r>
          </w:p>
        </w:tc>
        <w:tc>
          <w:tcPr>
            <w:tcW w:w="3208" w:type="dxa"/>
            <w:vAlign w:val="center"/>
          </w:tcPr>
          <w:p w14:paraId="62676DB1" w14:textId="4D47D9AC" w:rsidR="00B52F77" w:rsidRPr="00D274B6" w:rsidRDefault="00B605F8" w:rsidP="008A25EF">
            <w:pPr>
              <w:rPr>
                <w:rFonts w:ascii="Georgia" w:hAnsi="Georgia" w:cs="Arial"/>
              </w:rPr>
            </w:pPr>
            <w:r>
              <w:rPr>
                <w:rFonts w:ascii="Georgia" w:hAnsi="Georgia" w:cs="Arial"/>
              </w:rPr>
              <w:t>13 February 2022</w:t>
            </w:r>
          </w:p>
        </w:tc>
      </w:tr>
    </w:tbl>
    <w:p w14:paraId="4D2DC85A" w14:textId="33B80D3D" w:rsidR="00250326" w:rsidRDefault="00250326" w:rsidP="00250326">
      <w:pPr>
        <w:spacing w:after="240"/>
        <w:rPr>
          <w:rFonts w:ascii="Georgia" w:hAnsi="Georgia" w:cs="Arial"/>
          <w:strike/>
        </w:rPr>
      </w:pPr>
    </w:p>
    <w:p w14:paraId="0098A1B3" w14:textId="77777777" w:rsidR="00B605F8" w:rsidRDefault="00B605F8" w:rsidP="00B605F8">
      <w:pPr>
        <w:jc w:val="center"/>
        <w:rPr>
          <w:rFonts w:ascii="Georgia" w:hAnsi="Georgia"/>
          <w:b/>
          <w:bCs/>
        </w:rPr>
      </w:pPr>
      <w:r>
        <w:rPr>
          <w:rFonts w:ascii="Georgia" w:hAnsi="Georgia"/>
          <w:b/>
          <w:bCs/>
        </w:rPr>
        <w:t>Leaseholders’ Application</w:t>
      </w:r>
    </w:p>
    <w:p w14:paraId="2AD61C18" w14:textId="77777777" w:rsidR="00B605F8" w:rsidRDefault="00B605F8" w:rsidP="00B605F8">
      <w:pPr>
        <w:autoSpaceDE w:val="0"/>
        <w:autoSpaceDN w:val="0"/>
        <w:adjustRightInd w:val="0"/>
        <w:rPr>
          <w:rFonts w:ascii="Georgia" w:hAnsi="Georgia" w:cs="Arial-ItalicMT"/>
          <w:u w:val="single"/>
        </w:rPr>
      </w:pPr>
    </w:p>
    <w:p w14:paraId="19A3799A" w14:textId="4CA32BDA" w:rsidR="00B605F8" w:rsidRDefault="00B605F8" w:rsidP="00B605F8">
      <w:pPr>
        <w:autoSpaceDE w:val="0"/>
        <w:autoSpaceDN w:val="0"/>
        <w:adjustRightInd w:val="0"/>
        <w:rPr>
          <w:rFonts w:ascii="Georgia" w:hAnsi="Georgia" w:cs="Arial-ItalicMT"/>
          <w:u w:val="single"/>
        </w:rPr>
      </w:pPr>
      <w:r>
        <w:rPr>
          <w:rFonts w:ascii="Georgia" w:hAnsi="Georgia" w:cs="Arial-ItalicMT"/>
          <w:u w:val="single"/>
        </w:rPr>
        <w:t>Financing Charges</w:t>
      </w:r>
    </w:p>
    <w:p w14:paraId="2F7CD380" w14:textId="77777777" w:rsidR="00B605F8" w:rsidRDefault="00B605F8" w:rsidP="00B605F8">
      <w:pPr>
        <w:autoSpaceDE w:val="0"/>
        <w:autoSpaceDN w:val="0"/>
        <w:adjustRightInd w:val="0"/>
        <w:rPr>
          <w:rFonts w:ascii="Georgia" w:hAnsi="Georgia" w:cs="Arial-ItalicMT"/>
          <w:u w:val="single"/>
        </w:rPr>
      </w:pPr>
    </w:p>
    <w:p w14:paraId="62CAA512" w14:textId="77777777" w:rsidR="00B605F8" w:rsidRDefault="00B605F8" w:rsidP="00B605F8">
      <w:pPr>
        <w:pStyle w:val="ListParagraph"/>
        <w:numPr>
          <w:ilvl w:val="0"/>
          <w:numId w:val="14"/>
        </w:numPr>
        <w:autoSpaceDE w:val="0"/>
        <w:autoSpaceDN w:val="0"/>
        <w:adjustRightInd w:val="0"/>
        <w:jc w:val="both"/>
        <w:rPr>
          <w:rFonts w:ascii="Georgia" w:hAnsi="Georgia" w:cs="Arial-ItalicMT"/>
        </w:rPr>
      </w:pPr>
      <w:r>
        <w:rPr>
          <w:rFonts w:ascii="Georgia" w:hAnsi="Georgia" w:cs="ArialMT"/>
        </w:rPr>
        <w:t>It is suggested that at paragraph 103 of our decision that we incorrectly recorded that “</w:t>
      </w:r>
      <w:r>
        <w:rPr>
          <w:rFonts w:ascii="Georgia" w:hAnsi="Georgia" w:cs="Arial-ItalicMT"/>
        </w:rPr>
        <w:t>the Applicants made no challenge to the rate or quantum of the financing”.  We do not agree that this was an incorrect statement. The Applicants position was that finance charges were not payable at all, because there was no need for the Respondents to resort to financing. They did not seek to argue that if, contrary to that contention, financing was appropriate, that the calculation of the interest charges included in the total premiums for the provision of that financing was unreasonable. There is no error of fact or law in this aspect of our decision.</w:t>
      </w:r>
    </w:p>
    <w:p w14:paraId="132B9FFF" w14:textId="77777777" w:rsidR="00B605F8" w:rsidRDefault="00B605F8" w:rsidP="00B605F8">
      <w:pPr>
        <w:pStyle w:val="ListParagraph"/>
        <w:autoSpaceDE w:val="0"/>
        <w:autoSpaceDN w:val="0"/>
        <w:adjustRightInd w:val="0"/>
        <w:jc w:val="both"/>
        <w:rPr>
          <w:rFonts w:ascii="Georgia" w:hAnsi="Georgia" w:cs="Arial-ItalicMT"/>
        </w:rPr>
      </w:pPr>
    </w:p>
    <w:p w14:paraId="0BA5C82A" w14:textId="75041902" w:rsidR="00B605F8" w:rsidRDefault="00B605F8" w:rsidP="00B605F8">
      <w:pPr>
        <w:pStyle w:val="ListParagraph"/>
        <w:numPr>
          <w:ilvl w:val="0"/>
          <w:numId w:val="14"/>
        </w:numPr>
        <w:autoSpaceDE w:val="0"/>
        <w:autoSpaceDN w:val="0"/>
        <w:adjustRightInd w:val="0"/>
        <w:jc w:val="both"/>
        <w:rPr>
          <w:rFonts w:ascii="Georgia" w:hAnsi="Georgia" w:cs="Arial-ItalicMT"/>
        </w:rPr>
      </w:pPr>
      <w:r>
        <w:rPr>
          <w:rFonts w:ascii="Georgia" w:hAnsi="Georgia" w:cs="Arial-ItalicMT"/>
        </w:rPr>
        <w:t xml:space="preserve">It was not part of the Applicants case before us that if we concluded that the fees charged by WMS were not payable by them, that there should be a consequential  reduction in their contribution towards the financing charges. This is a new point being advanced by the Applicants, and does not evidence an error of law in </w:t>
      </w:r>
      <w:r w:rsidR="00295837">
        <w:rPr>
          <w:rFonts w:ascii="Georgia" w:hAnsi="Georgia" w:cs="Arial-ItalicMT"/>
        </w:rPr>
        <w:t>our</w:t>
      </w:r>
      <w:r>
        <w:rPr>
          <w:rFonts w:ascii="Georgia" w:hAnsi="Georgia" w:cs="Arial-ItalicMT"/>
        </w:rPr>
        <w:t xml:space="preserve"> decision.  </w:t>
      </w:r>
    </w:p>
    <w:p w14:paraId="71FCB485" w14:textId="77777777" w:rsidR="00B605F8" w:rsidRDefault="00B605F8" w:rsidP="00B605F8">
      <w:pPr>
        <w:pStyle w:val="ListParagraph"/>
        <w:rPr>
          <w:rFonts w:ascii="Georgia" w:hAnsi="Georgia" w:cs="Arial-ItalicMT"/>
        </w:rPr>
      </w:pPr>
    </w:p>
    <w:p w14:paraId="06A6342D" w14:textId="77777777" w:rsidR="00B605F8" w:rsidRDefault="00B605F8" w:rsidP="00B605F8">
      <w:pPr>
        <w:autoSpaceDE w:val="0"/>
        <w:autoSpaceDN w:val="0"/>
        <w:adjustRightInd w:val="0"/>
        <w:jc w:val="both"/>
        <w:rPr>
          <w:rFonts w:ascii="Georgia" w:hAnsi="Georgia" w:cs="Arial-ItalicMT"/>
          <w:u w:val="single"/>
        </w:rPr>
      </w:pPr>
      <w:r>
        <w:rPr>
          <w:rFonts w:ascii="Georgia" w:hAnsi="Georgia" w:cs="Arial-ItalicMT"/>
          <w:u w:val="single"/>
        </w:rPr>
        <w:t xml:space="preserve">Other Matters </w:t>
      </w:r>
    </w:p>
    <w:p w14:paraId="312C5E84" w14:textId="77777777" w:rsidR="00B605F8" w:rsidRDefault="00B605F8" w:rsidP="00B605F8">
      <w:pPr>
        <w:pStyle w:val="ListParagraph"/>
        <w:rPr>
          <w:rFonts w:ascii="Georgia" w:hAnsi="Georgia" w:cs="Arial-ItalicMT"/>
        </w:rPr>
      </w:pPr>
    </w:p>
    <w:p w14:paraId="0E32C253" w14:textId="77777777" w:rsidR="00B605F8" w:rsidRDefault="00B605F8" w:rsidP="00B605F8">
      <w:pPr>
        <w:pStyle w:val="ListParagraph"/>
        <w:numPr>
          <w:ilvl w:val="0"/>
          <w:numId w:val="14"/>
        </w:numPr>
        <w:autoSpaceDE w:val="0"/>
        <w:autoSpaceDN w:val="0"/>
        <w:adjustRightInd w:val="0"/>
        <w:spacing w:after="240"/>
        <w:jc w:val="both"/>
        <w:rPr>
          <w:rFonts w:ascii="Georgia" w:hAnsi="Georgia" w:cs="Arial"/>
          <w:bCs/>
          <w:sz w:val="22"/>
          <w:szCs w:val="22"/>
        </w:rPr>
      </w:pPr>
      <w:r>
        <w:rPr>
          <w:rFonts w:ascii="Georgia" w:hAnsi="Georgia" w:cs="Arial-ItalicMT"/>
        </w:rPr>
        <w:t>Whilst not pursued as a ground of appeal, the Applicants suggest that at paragraph 118 of our decision we incorrectly found that valuation reports obtained by the Respondents represented professional advice on the apportionment of insurance premiums. However, we made no finding at paragraph 118. The paragraph records the evidence tendered by Mr Curtis.</w:t>
      </w:r>
    </w:p>
    <w:p w14:paraId="4C55B1DC" w14:textId="77777777" w:rsidR="00B605F8" w:rsidRDefault="00B605F8" w:rsidP="00B605F8">
      <w:pPr>
        <w:pStyle w:val="ListParagraph"/>
        <w:autoSpaceDE w:val="0"/>
        <w:autoSpaceDN w:val="0"/>
        <w:adjustRightInd w:val="0"/>
        <w:spacing w:after="240"/>
        <w:jc w:val="both"/>
        <w:rPr>
          <w:rFonts w:ascii="Georgia" w:hAnsi="Georgia" w:cs="Arial"/>
          <w:bCs/>
        </w:rPr>
      </w:pPr>
    </w:p>
    <w:p w14:paraId="0E95183F" w14:textId="77777777" w:rsidR="00B605F8" w:rsidRDefault="00B605F8" w:rsidP="00B605F8">
      <w:pPr>
        <w:pStyle w:val="ListParagraph"/>
        <w:numPr>
          <w:ilvl w:val="0"/>
          <w:numId w:val="14"/>
        </w:numPr>
        <w:autoSpaceDE w:val="0"/>
        <w:autoSpaceDN w:val="0"/>
        <w:adjustRightInd w:val="0"/>
        <w:spacing w:after="240"/>
        <w:jc w:val="both"/>
        <w:rPr>
          <w:rFonts w:ascii="Georgia" w:hAnsi="Georgia" w:cs="Arial"/>
          <w:bCs/>
        </w:rPr>
      </w:pPr>
      <w:r>
        <w:rPr>
          <w:rFonts w:ascii="Georgia" w:hAnsi="Georgia" w:cs="Arial-ItalicMT"/>
        </w:rPr>
        <w:t xml:space="preserve">There is no need for us to review our decision in order to make the further directions sought by the Applicants. They are correct to say that they are entitled to a determination from the tribunal as to the amounts payable by them towards insurance costs. They also correctly point out that at the hearing the tribunal expressed the hope that the  amounts could be agreed by the parties following the tribunal’s determination.  The parties should seek to do so, and if agreement is not reached either may apply to the tribunal for the issue to be determined by way of an addendum decision to our decision of 21 December 2022. However, as we have granted the Respondents permission to appeal that decision to </w:t>
      </w:r>
      <w:r>
        <w:rPr>
          <w:rFonts w:ascii="Georgia" w:hAnsi="Georgia" w:cs="Arial-ItalicMT"/>
        </w:rPr>
        <w:lastRenderedPageBreak/>
        <w:t>the Upper Tribunal, any such application should await the outcome of that appeal, so that it is known whether our determinations are upheld.</w:t>
      </w:r>
    </w:p>
    <w:p w14:paraId="08CFDBC4" w14:textId="77777777" w:rsidR="00B605F8" w:rsidRDefault="00B605F8" w:rsidP="00B605F8">
      <w:pPr>
        <w:pStyle w:val="ListParagraph"/>
        <w:rPr>
          <w:rFonts w:ascii="Georgia" w:hAnsi="Georgia" w:cs="Arial"/>
          <w:bCs/>
        </w:rPr>
      </w:pPr>
    </w:p>
    <w:p w14:paraId="36E0A2D8" w14:textId="65AE55DC" w:rsidR="00B605F8" w:rsidRDefault="00B605F8" w:rsidP="00250326">
      <w:pPr>
        <w:spacing w:after="240"/>
        <w:rPr>
          <w:rFonts w:ascii="Georgia" w:hAnsi="Georgia" w:cs="Arial"/>
          <w:strike/>
        </w:rPr>
      </w:pPr>
    </w:p>
    <w:p w14:paraId="75C0C12E" w14:textId="77777777" w:rsidR="002F7201" w:rsidRDefault="002F7201" w:rsidP="002F7201">
      <w:pPr>
        <w:autoSpaceDE w:val="0"/>
        <w:autoSpaceDN w:val="0"/>
        <w:adjustRightInd w:val="0"/>
        <w:spacing w:after="240"/>
        <w:jc w:val="center"/>
        <w:rPr>
          <w:rFonts w:ascii="Georgia" w:hAnsi="Georgia" w:cs="Arial"/>
          <w:b/>
        </w:rPr>
      </w:pPr>
      <w:r>
        <w:rPr>
          <w:rFonts w:ascii="Georgia" w:hAnsi="Georgia" w:cs="Arial"/>
          <w:b/>
        </w:rPr>
        <w:t>Landlords’ Application</w:t>
      </w:r>
    </w:p>
    <w:p w14:paraId="2707E07A" w14:textId="77777777" w:rsidR="002F7201" w:rsidRDefault="002F7201" w:rsidP="002F7201">
      <w:pPr>
        <w:autoSpaceDE w:val="0"/>
        <w:autoSpaceDN w:val="0"/>
        <w:adjustRightInd w:val="0"/>
        <w:jc w:val="both"/>
        <w:rPr>
          <w:rFonts w:ascii="Georgia" w:hAnsi="Georgia" w:cs="Arial-ItalicMT"/>
          <w:u w:val="single"/>
        </w:rPr>
      </w:pPr>
      <w:r>
        <w:rPr>
          <w:rFonts w:ascii="Georgia" w:hAnsi="Georgia" w:cs="Arial-ItalicMT"/>
          <w:u w:val="single"/>
        </w:rPr>
        <w:t xml:space="preserve">Ground One  - the tribunal erred in law in holding that it was required or entitled to decide whether the amounts received by Westminster Management Services Limited in respect of insurance commission were contractually recoverable under the terms of the leases. </w:t>
      </w:r>
    </w:p>
    <w:p w14:paraId="743B7DF6" w14:textId="77777777" w:rsidR="002F7201" w:rsidRDefault="002F7201" w:rsidP="002F7201">
      <w:pPr>
        <w:autoSpaceDE w:val="0"/>
        <w:autoSpaceDN w:val="0"/>
        <w:adjustRightInd w:val="0"/>
        <w:jc w:val="both"/>
        <w:rPr>
          <w:rFonts w:ascii="Georgia" w:hAnsi="Georgia" w:cs="Arial-ItalicMT"/>
        </w:rPr>
      </w:pPr>
    </w:p>
    <w:p w14:paraId="295C37CF"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 xml:space="preserve">It is correct that the Applicants framed their challenge in terms of whether insurance premiums had been reasonably incurred, and that they did not expressly argue that the costs were not  contractually recoverable under the terms of their lease. However, in examining whether costs have been reasonably incurred for the purposes of s.19 of the Act, a tribunal has to first consider the landlord’s contractual entitlement to recover the service charges claimed, before proceeding to determine whether those costs were reasonably incurred. Contractual entitlement is a condition precedent to the recovery of the service charges, and it would be erroneous for the tribunal to fail to address that entitlement even though the point was not specifically raised by the Applicants. This two-stage process was recognised in </w:t>
      </w:r>
      <w:r>
        <w:rPr>
          <w:rFonts w:ascii="Georgia" w:hAnsi="Georgia" w:cs="Arial-ItalicMT"/>
          <w:i/>
          <w:iCs/>
        </w:rPr>
        <w:t>Knapper v Francis</w:t>
      </w:r>
      <w:r>
        <w:rPr>
          <w:rFonts w:ascii="Georgia" w:hAnsi="Georgia" w:cs="Arial-ItalicMT"/>
        </w:rPr>
        <w:t xml:space="preserve"> [2017] UKUT 3 (LC), para 39 in the context of on-account service charges. </w:t>
      </w:r>
    </w:p>
    <w:p w14:paraId="51D5DA56" w14:textId="77777777" w:rsidR="002F7201" w:rsidRDefault="002F7201" w:rsidP="002F7201">
      <w:pPr>
        <w:pStyle w:val="ListParagraph"/>
        <w:autoSpaceDE w:val="0"/>
        <w:autoSpaceDN w:val="0"/>
        <w:adjustRightInd w:val="0"/>
        <w:spacing w:after="240"/>
        <w:jc w:val="both"/>
        <w:rPr>
          <w:rFonts w:ascii="Georgia" w:hAnsi="Georgia" w:cs="Arial-ItalicMT"/>
        </w:rPr>
      </w:pPr>
    </w:p>
    <w:p w14:paraId="142602CA"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Moreover, as identified in paragraph 60 of our decision, the importance of considering the contractual framework was recognised by Mr Bates, counsel for the Respondents, who sought to persuade us that all of the insurance costs, including commissions and fees, fell within the definition of “Insurance Rent” in CREM’s headlease, which were then passed through to the residential leaseholders by clauses 24.3.8 and 25.2 of their lease.  He also argued that the costs were payable in respect of a relevant cost for the purposes of s.18 of the 1985 Act, and invited us to find that these were service charge costs that the leaseholders were contractually obliged to pay. Given the Respondents own emphasis on the contractual framework, and its contention that these were relevant costs under s.18, it cannot realistically be argued that the tribunal was wrong to have regard to these matters when reaching its determination.</w:t>
      </w:r>
    </w:p>
    <w:p w14:paraId="1145C84B" w14:textId="77777777" w:rsidR="002F7201" w:rsidRDefault="002F7201" w:rsidP="002F7201">
      <w:pPr>
        <w:autoSpaceDE w:val="0"/>
        <w:autoSpaceDN w:val="0"/>
        <w:adjustRightInd w:val="0"/>
        <w:jc w:val="both"/>
        <w:rPr>
          <w:rFonts w:ascii="Georgia" w:hAnsi="Georgia" w:cs="Arial-ItalicMT"/>
          <w:u w:val="single"/>
        </w:rPr>
      </w:pPr>
      <w:r>
        <w:rPr>
          <w:rFonts w:ascii="Georgia" w:hAnsi="Georgia" w:cs="Arial-ItalicMT"/>
          <w:u w:val="single"/>
        </w:rPr>
        <w:t>Ground Two – if it was open to the Tribunal to decide whether the Landlords were contractually entitled to recover the Disputed Amounts from the Tenants, the Tribunal erred in law in concluding that these amounts were not contractually recoverable.</w:t>
      </w:r>
    </w:p>
    <w:p w14:paraId="3D218E9B" w14:textId="77777777" w:rsidR="002F7201" w:rsidRDefault="002F7201" w:rsidP="002F7201">
      <w:pPr>
        <w:autoSpaceDE w:val="0"/>
        <w:autoSpaceDN w:val="0"/>
        <w:adjustRightInd w:val="0"/>
        <w:jc w:val="both"/>
        <w:rPr>
          <w:rFonts w:asciiTheme="minorHAnsi" w:hAnsiTheme="minorHAnsi" w:cstheme="minorBidi"/>
          <w:sz w:val="22"/>
          <w:szCs w:val="22"/>
        </w:rPr>
      </w:pPr>
    </w:p>
    <w:p w14:paraId="4B68B456"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 xml:space="preserve">At paragraph 9.2 of their  Grounds of Appeal the Respondents quote subclause 1.1 of the head lease which defines “Insurance Rent” as “a due proportion … of all sums … which the Landlord shall from time to time pay in respect of the insurances required …” </w:t>
      </w:r>
      <w:r>
        <w:rPr>
          <w:rFonts w:ascii="Georgia" w:hAnsi="Georgia" w:cs="Arial-ItalicMT"/>
          <w:b/>
          <w:bCs/>
        </w:rPr>
        <w:t>[Supp7]</w:t>
      </w:r>
      <w:r>
        <w:rPr>
          <w:rFonts w:ascii="Georgia" w:hAnsi="Georgia" w:cs="Arial-ItalicMT"/>
        </w:rPr>
        <w:t xml:space="preserve">. However, they have not set out the full wording of the definition, which reads as follows </w:t>
      </w:r>
      <w:r>
        <w:rPr>
          <w:rFonts w:ascii="Georgia" w:hAnsi="Georgia" w:cs="Arial-ItalicMT"/>
        </w:rPr>
        <w:lastRenderedPageBreak/>
        <w:t xml:space="preserve">“which the Landlord shall from time to time pay in respect of the insurances required </w:t>
      </w:r>
      <w:r>
        <w:rPr>
          <w:rFonts w:ascii="Georgia" w:hAnsi="Georgia" w:cs="Arial-ItalicMT"/>
          <w:i/>
          <w:iCs/>
        </w:rPr>
        <w:t xml:space="preserve">by Clause 6.1(i) (ii) and (iv)… </w:t>
      </w:r>
      <w:r>
        <w:rPr>
          <w:rFonts w:ascii="Georgia" w:hAnsi="Georgia" w:cs="Arial-ItalicMT"/>
        </w:rPr>
        <w:t>[of the Headlease] [italics added for emphasis]. Clause 6.1(i) concerns the shell and core of the buildings and structures etc. comprising the Estate.  Clause 6.1(ii) concerns loss of rents, and clause 6.1(iv) concerns property owner’s liability and other insurances that the Landlord may deem necessary.</w:t>
      </w:r>
    </w:p>
    <w:p w14:paraId="0ADB33E4" w14:textId="77777777" w:rsidR="002F7201" w:rsidRDefault="002F7201" w:rsidP="002F7201">
      <w:pPr>
        <w:pStyle w:val="ListParagraph"/>
        <w:autoSpaceDE w:val="0"/>
        <w:autoSpaceDN w:val="0"/>
        <w:adjustRightInd w:val="0"/>
        <w:spacing w:after="240"/>
        <w:jc w:val="both"/>
        <w:rPr>
          <w:rFonts w:ascii="Georgia" w:hAnsi="Georgia" w:cs="Arial-ItalicMT"/>
        </w:rPr>
      </w:pPr>
    </w:p>
    <w:p w14:paraId="166273D8"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It was our determination that any payment to WMS for the work described by Mr Curtis did not amount to “sums… [paid] in respect of the insurances required by Clause 6.1(i) (ii) and (iv)…” of the Headlease, and did not extend to the landlord’s own activities connected with taking out or claiming on insurance, or the work carried out by WMS.  We do not agree that we should have held that the “sums … which the Landlord shall from time to time pay in respect of the insurances” meant the gross premiums, irrespective of any arrangement agreed as between the insurer. Nevertheless, we accept that the argument has a realistic prospect of success, justifying the grant of permission to appeal.</w:t>
      </w:r>
    </w:p>
    <w:p w14:paraId="5A02D9EB" w14:textId="77777777" w:rsidR="002F7201" w:rsidRDefault="002F7201" w:rsidP="002F7201">
      <w:pPr>
        <w:pStyle w:val="ListParagraph"/>
        <w:rPr>
          <w:rFonts w:ascii="Georgia" w:hAnsi="Georgia" w:cs="Arial-ItalicMT"/>
        </w:rPr>
      </w:pPr>
    </w:p>
    <w:p w14:paraId="3A6EEBE8"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The contention that we erred in holding at paragraphs 73 and 83 that subclause 6.3.1 did not extend to commission paid by Reich to WMS, as distinct from payments by Reich to the Landlords, has a realistic prospect of success on appeal given that the subclause refers to both retention and utilisation.</w:t>
      </w:r>
    </w:p>
    <w:p w14:paraId="4C5CED76" w14:textId="77777777" w:rsidR="002F7201" w:rsidRDefault="002F7201" w:rsidP="002F7201">
      <w:pPr>
        <w:pStyle w:val="ListParagraph"/>
        <w:rPr>
          <w:rFonts w:ascii="Georgia" w:hAnsi="Georgia" w:cs="Arial-ItalicMT"/>
        </w:rPr>
      </w:pPr>
    </w:p>
    <w:p w14:paraId="240E9AF7"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The contention that we erred in holding at paragraph 83 that the commission paid to WMS was not “in respect of” the insurances required by the Headlease also has a realistic prospect of success.</w:t>
      </w:r>
    </w:p>
    <w:p w14:paraId="5F5BBA10" w14:textId="77777777" w:rsidR="002F7201" w:rsidRDefault="002F7201" w:rsidP="002F7201">
      <w:pPr>
        <w:pStyle w:val="ListParagraph"/>
        <w:rPr>
          <w:rFonts w:ascii="Georgia" w:hAnsi="Georgia" w:cs="Arial-ItalicMT"/>
        </w:rPr>
      </w:pPr>
    </w:p>
    <w:p w14:paraId="5CFDEAD3" w14:textId="77777777" w:rsidR="002F7201" w:rsidRDefault="002F7201" w:rsidP="002F7201">
      <w:pPr>
        <w:autoSpaceDE w:val="0"/>
        <w:autoSpaceDN w:val="0"/>
        <w:adjustRightInd w:val="0"/>
        <w:jc w:val="both"/>
        <w:rPr>
          <w:rFonts w:ascii="Georgia" w:hAnsi="Georgia" w:cs="Arial-ItalicMT"/>
          <w:u w:val="single"/>
        </w:rPr>
      </w:pPr>
      <w:r>
        <w:rPr>
          <w:rFonts w:ascii="Georgia" w:hAnsi="Georgia" w:cs="Arial-ItalicMT"/>
          <w:u w:val="single"/>
        </w:rPr>
        <w:t xml:space="preserve">Ground Three - the Tribunal erred in law in holding at paragraphs 67 and 86 that the burden of proof lay on the Landlords to justify the sums claimed. </w:t>
      </w:r>
    </w:p>
    <w:p w14:paraId="142699E4" w14:textId="77777777" w:rsidR="002F7201" w:rsidRDefault="002F7201" w:rsidP="002F7201">
      <w:pPr>
        <w:pStyle w:val="ListParagraph"/>
        <w:autoSpaceDE w:val="0"/>
        <w:autoSpaceDN w:val="0"/>
        <w:adjustRightInd w:val="0"/>
        <w:spacing w:after="240"/>
        <w:jc w:val="both"/>
        <w:rPr>
          <w:rFonts w:ascii="Georgia" w:hAnsi="Georgia" w:cs="Arial-ItalicMT"/>
        </w:rPr>
      </w:pPr>
    </w:p>
    <w:p w14:paraId="27EA6F42"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 xml:space="preserve">We agree that it is for the party disputing the reasonableness of sums claimed to establish a </w:t>
      </w:r>
      <w:r>
        <w:rPr>
          <w:rFonts w:ascii="Georgia" w:hAnsi="Georgia" w:cs="Arial-ItalicMT"/>
          <w:i/>
          <w:iCs/>
        </w:rPr>
        <w:t>prima facie</w:t>
      </w:r>
      <w:r>
        <w:rPr>
          <w:rFonts w:ascii="Georgia" w:hAnsi="Georgia" w:cs="Arial-ItalicMT"/>
        </w:rPr>
        <w:t xml:space="preserve"> case. The Applicants did so. They raised the issue of insurance commissions in their application </w:t>
      </w:r>
      <w:r>
        <w:rPr>
          <w:rFonts w:ascii="Georgia" w:hAnsi="Georgia" w:cs="Arial-ItalicMT"/>
          <w:b/>
          <w:bCs/>
        </w:rPr>
        <w:t xml:space="preserve">[15] </w:t>
      </w:r>
      <w:r>
        <w:rPr>
          <w:rFonts w:ascii="Georgia" w:hAnsi="Georgia" w:cs="Arial-ItalicMT"/>
        </w:rPr>
        <w:t xml:space="preserve">and questioned whether the inclusion of such commissions in the premiums demanded from them meant that the costs had not been reasonably incurred (see the tribunal’s directions of 9 July 2020 </w:t>
      </w:r>
      <w:r>
        <w:rPr>
          <w:rFonts w:ascii="Georgia" w:hAnsi="Georgia" w:cs="Arial-ItalicMT"/>
          <w:b/>
          <w:bCs/>
        </w:rPr>
        <w:t>[157]</w:t>
      </w:r>
      <w:r>
        <w:rPr>
          <w:rFonts w:ascii="Georgia" w:hAnsi="Georgia" w:cs="Arial-ItalicMT"/>
        </w:rPr>
        <w:t xml:space="preserve">, para. 1). They sought a rule 20(1)(b) order against Reich that included details of commissions and commission-sharing arrangements. Although their application was initially refused, Judge Vance subsequently made a rule 20(1)(b) order against Reich on  8 October 2021 </w:t>
      </w:r>
      <w:r>
        <w:rPr>
          <w:rFonts w:ascii="Georgia" w:hAnsi="Georgia" w:cs="Arial-ItalicMT"/>
          <w:b/>
          <w:bCs/>
        </w:rPr>
        <w:t>[380]</w:t>
      </w:r>
      <w:r>
        <w:rPr>
          <w:rFonts w:ascii="Georgia" w:hAnsi="Georgia" w:cs="Arial-ItalicMT"/>
        </w:rPr>
        <w:t xml:space="preserve"> which resulted in Reich, on 15 March 2022, providing a one-page spreadsheet </w:t>
      </w:r>
      <w:r>
        <w:rPr>
          <w:rFonts w:ascii="Georgia" w:hAnsi="Georgia" w:cs="Arial-ItalicMT"/>
          <w:b/>
          <w:bCs/>
        </w:rPr>
        <w:t>[520]</w:t>
      </w:r>
      <w:r>
        <w:rPr>
          <w:rFonts w:ascii="Georgia" w:hAnsi="Georgia" w:cs="Arial-ItalicMT"/>
        </w:rPr>
        <w:t xml:space="preserve"> setting out the premiums paid under the Yianis Group policy, as well as the total commission retained by Reich, and the total fees paid to WMS. Following provision of that spreadsheet the Applicants served their Amended Statement of Case in which they directly challenged the reasonableness of the commissions and fees included in the insurance premiums </w:t>
      </w:r>
      <w:r>
        <w:rPr>
          <w:rFonts w:ascii="Georgia" w:hAnsi="Georgia" w:cs="Arial-ItalicMT"/>
          <w:b/>
          <w:bCs/>
        </w:rPr>
        <w:t>[450]</w:t>
      </w:r>
      <w:r>
        <w:rPr>
          <w:rFonts w:ascii="Georgia" w:hAnsi="Georgia" w:cs="Arial-ItalicMT"/>
        </w:rPr>
        <w:t xml:space="preserve">, paras 2-3,23-50]. </w:t>
      </w:r>
    </w:p>
    <w:p w14:paraId="67BB0FFD" w14:textId="77777777" w:rsidR="002F7201" w:rsidRDefault="002F7201" w:rsidP="002F7201">
      <w:pPr>
        <w:pStyle w:val="ListParagraph"/>
        <w:autoSpaceDE w:val="0"/>
        <w:autoSpaceDN w:val="0"/>
        <w:adjustRightInd w:val="0"/>
        <w:spacing w:after="240"/>
        <w:jc w:val="both"/>
        <w:rPr>
          <w:rFonts w:ascii="Georgia" w:hAnsi="Georgia" w:cs="Arial-ItalicMT"/>
        </w:rPr>
      </w:pPr>
    </w:p>
    <w:p w14:paraId="0E615506"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 xml:space="preserve">In light of that background, it cannot realistically be argued that the Applicants failed to establish a </w:t>
      </w:r>
      <w:r>
        <w:rPr>
          <w:rFonts w:ascii="Georgia" w:hAnsi="Georgia" w:cs="Arial-ItalicMT"/>
          <w:i/>
          <w:iCs/>
        </w:rPr>
        <w:t xml:space="preserve">prima facie </w:t>
      </w:r>
      <w:r>
        <w:rPr>
          <w:rFonts w:ascii="Georgia" w:hAnsi="Georgia" w:cs="Arial-ItalicMT"/>
        </w:rPr>
        <w:t xml:space="preserve">case. Once they had done so, </w:t>
      </w:r>
      <w:r>
        <w:rPr>
          <w:rFonts w:ascii="Georgia" w:hAnsi="Georgia" w:cs="Arial-ItalicMT"/>
        </w:rPr>
        <w:lastRenderedPageBreak/>
        <w:t>it fell to the Respondents to rebut their case, with the burden of satisfying the tribunal that the gross premiums charged had been reasonably incurred resting on them (</w:t>
      </w:r>
      <w:r>
        <w:rPr>
          <w:rFonts w:ascii="Georgia" w:hAnsi="Georgia" w:cs="Arial-ItalicMT"/>
          <w:i/>
          <w:iCs/>
        </w:rPr>
        <w:t>Sadeh and ors. v Mirhan and ors</w:t>
      </w:r>
      <w:r>
        <w:rPr>
          <w:rFonts w:ascii="Georgia" w:hAnsi="Georgia" w:cs="Arial-ItalicMT"/>
        </w:rPr>
        <w:t xml:space="preserve"> [2015] UKUT 428 (LC)).</w:t>
      </w:r>
    </w:p>
    <w:p w14:paraId="4707812D" w14:textId="77777777" w:rsidR="002F7201" w:rsidRDefault="002F7201" w:rsidP="002F7201">
      <w:pPr>
        <w:pStyle w:val="ListParagraph"/>
        <w:rPr>
          <w:rFonts w:ascii="Georgia" w:hAnsi="Georgia" w:cs="Arial-ItalicMT"/>
        </w:rPr>
      </w:pPr>
    </w:p>
    <w:p w14:paraId="05F36575" w14:textId="77777777" w:rsidR="002F7201" w:rsidRDefault="002F7201" w:rsidP="002F7201">
      <w:pPr>
        <w:autoSpaceDE w:val="0"/>
        <w:autoSpaceDN w:val="0"/>
        <w:adjustRightInd w:val="0"/>
        <w:jc w:val="both"/>
        <w:rPr>
          <w:rFonts w:ascii="Georgia" w:hAnsi="Georgia" w:cs="Arial-ItalicMT"/>
          <w:u w:val="single"/>
        </w:rPr>
      </w:pPr>
      <w:r>
        <w:rPr>
          <w:rFonts w:ascii="Georgia" w:hAnsi="Georgia" w:cs="Arial-ItalicMT"/>
          <w:u w:val="single"/>
        </w:rPr>
        <w:t xml:space="preserve">Ground Four - the Tribunal erred in holding at paragraph 86 that the Disputed Amounts were not reasonably incurred.  </w:t>
      </w:r>
    </w:p>
    <w:p w14:paraId="6587DF44" w14:textId="77777777" w:rsidR="002F7201" w:rsidRDefault="002F7201" w:rsidP="002F7201">
      <w:pPr>
        <w:autoSpaceDE w:val="0"/>
        <w:autoSpaceDN w:val="0"/>
        <w:adjustRightInd w:val="0"/>
        <w:spacing w:after="240"/>
        <w:jc w:val="both"/>
        <w:rPr>
          <w:rFonts w:ascii="Georgia" w:hAnsi="Georgia" w:cs="Arial-ItalicMT"/>
        </w:rPr>
      </w:pPr>
    </w:p>
    <w:p w14:paraId="56EF728B" w14:textId="6FE74029" w:rsidR="002A5197" w:rsidRPr="006B02F9" w:rsidRDefault="002F7201" w:rsidP="009117DE">
      <w:pPr>
        <w:pStyle w:val="ListParagraph"/>
        <w:numPr>
          <w:ilvl w:val="0"/>
          <w:numId w:val="15"/>
        </w:numPr>
        <w:shd w:val="clear" w:color="auto" w:fill="FFFFFF"/>
        <w:autoSpaceDE w:val="0"/>
        <w:autoSpaceDN w:val="0"/>
        <w:adjustRightInd w:val="0"/>
        <w:jc w:val="both"/>
        <w:rPr>
          <w:rFonts w:ascii="Georgia" w:hAnsi="Georgia" w:cs="Arial-ItalicMT"/>
        </w:rPr>
      </w:pPr>
      <w:r w:rsidRPr="00101897">
        <w:rPr>
          <w:rFonts w:ascii="Georgia" w:hAnsi="Georgia" w:cs="Arial-ItalicMT"/>
        </w:rPr>
        <w:t xml:space="preserve">Our conclusion at paragraph 86 that the fees paid to WMS had not been reasonably incurred in insuring the Estate was reached on the basis that if there was no contractual liability on the Applicants to pay them, it followed that the costs had not been reasonably incurred. We agree that this does not necessarily follow, as contractual entitlement to recover the service charges claimed is a separate issue to the question of whether those costs were reasonably incurred for the purposes of s.19. As such, this ground of appeal has a realistic prospect of success. However, any error on our part did not, in our view,  have a material impact on our determination. This is because having reached our determination on contractual liability, there was no need for us to go on to determine whether </w:t>
      </w:r>
      <w:r w:rsidR="00101897">
        <w:rPr>
          <w:rFonts w:ascii="Georgia" w:hAnsi="Georgia" w:cs="Arial-ItalicMT"/>
        </w:rPr>
        <w:t>the Dis</w:t>
      </w:r>
      <w:r w:rsidR="002A5197">
        <w:rPr>
          <w:rFonts w:ascii="Georgia" w:hAnsi="Georgia" w:cs="Arial-ItalicMT"/>
        </w:rPr>
        <w:t xml:space="preserve">puted Amounts </w:t>
      </w:r>
      <w:r w:rsidR="00AC5CCA" w:rsidRPr="006B02F9">
        <w:rPr>
          <w:rFonts w:ascii="Georgia" w:hAnsi="Georgia" w:cs="Arial-ItalicMT"/>
        </w:rPr>
        <w:t xml:space="preserve">were reasonably incurred </w:t>
      </w:r>
      <w:r w:rsidR="005178CF">
        <w:rPr>
          <w:rFonts w:ascii="Georgia" w:hAnsi="Georgia" w:cs="Arial-ItalicMT"/>
        </w:rPr>
        <w:t>because</w:t>
      </w:r>
      <w:r w:rsidR="002A5197" w:rsidRPr="006B02F9">
        <w:rPr>
          <w:rFonts w:ascii="Georgia" w:hAnsi="Georgia" w:cs="Arial-ItalicMT"/>
        </w:rPr>
        <w:t xml:space="preserve"> </w:t>
      </w:r>
      <w:r w:rsidR="006B02F9" w:rsidRPr="006B02F9">
        <w:rPr>
          <w:rFonts w:ascii="Georgia" w:hAnsi="Georgia" w:cs="Arial-ItalicMT"/>
        </w:rPr>
        <w:t xml:space="preserve">that question </w:t>
      </w:r>
      <w:r w:rsidR="005178CF">
        <w:rPr>
          <w:rFonts w:ascii="Georgia" w:hAnsi="Georgia" w:cs="Arial-ItalicMT"/>
        </w:rPr>
        <w:t xml:space="preserve">was </w:t>
      </w:r>
      <w:r w:rsidR="006B02F9" w:rsidRPr="006B02F9">
        <w:rPr>
          <w:rFonts w:ascii="Georgia" w:hAnsi="Georgia" w:cs="Arial-ItalicMT"/>
        </w:rPr>
        <w:t xml:space="preserve">rendered </w:t>
      </w:r>
      <w:r w:rsidR="00AC5CCA" w:rsidRPr="006B02F9">
        <w:rPr>
          <w:rFonts w:ascii="Georgia" w:hAnsi="Georgia" w:cs="Arial-ItalicMT"/>
        </w:rPr>
        <w:t xml:space="preserve">academic. </w:t>
      </w:r>
    </w:p>
    <w:p w14:paraId="3BF2D897" w14:textId="77777777" w:rsidR="002A5197" w:rsidRDefault="002A5197" w:rsidP="002A5197">
      <w:pPr>
        <w:pStyle w:val="ListParagraph"/>
        <w:shd w:val="clear" w:color="auto" w:fill="FFFFFF"/>
        <w:autoSpaceDE w:val="0"/>
        <w:autoSpaceDN w:val="0"/>
        <w:adjustRightInd w:val="0"/>
        <w:jc w:val="both"/>
        <w:rPr>
          <w:color w:val="000000"/>
        </w:rPr>
      </w:pPr>
    </w:p>
    <w:p w14:paraId="18EE6918" w14:textId="5227DE96" w:rsidR="00AC5CCA" w:rsidRDefault="001065E7" w:rsidP="00FF3701">
      <w:pPr>
        <w:pStyle w:val="ListParagraph"/>
        <w:numPr>
          <w:ilvl w:val="0"/>
          <w:numId w:val="15"/>
        </w:numPr>
        <w:shd w:val="clear" w:color="auto" w:fill="FFFFFF"/>
        <w:autoSpaceDE w:val="0"/>
        <w:autoSpaceDN w:val="0"/>
        <w:adjustRightInd w:val="0"/>
        <w:jc w:val="both"/>
        <w:rPr>
          <w:rFonts w:ascii="Georgia" w:hAnsi="Georgia" w:cs="Arial-ItalicMT"/>
        </w:rPr>
      </w:pPr>
      <w:r w:rsidRPr="00A56A56">
        <w:rPr>
          <w:rFonts w:ascii="Georgia" w:hAnsi="Georgia" w:cs="Arial-ItalicMT"/>
        </w:rPr>
        <w:t xml:space="preserve">We recognise that if </w:t>
      </w:r>
      <w:r w:rsidR="00AC5CCA" w:rsidRPr="00A56A56">
        <w:rPr>
          <w:rFonts w:ascii="Georgia" w:hAnsi="Georgia" w:cs="Arial-ItalicMT"/>
        </w:rPr>
        <w:t xml:space="preserve">the </w:t>
      </w:r>
      <w:r w:rsidR="0083681C" w:rsidRPr="00A56A56">
        <w:rPr>
          <w:rFonts w:ascii="Georgia" w:hAnsi="Georgia" w:cs="Arial-ItalicMT"/>
        </w:rPr>
        <w:t xml:space="preserve">Landlords’ appeal </w:t>
      </w:r>
      <w:r w:rsidR="000E214C" w:rsidRPr="00A56A56">
        <w:rPr>
          <w:rFonts w:ascii="Georgia" w:hAnsi="Georgia" w:cs="Arial-ItalicMT"/>
        </w:rPr>
        <w:t xml:space="preserve">is successful </w:t>
      </w:r>
      <w:r w:rsidR="00AC5CCA" w:rsidRPr="00A56A56">
        <w:rPr>
          <w:rFonts w:ascii="Georgia" w:hAnsi="Georgia" w:cs="Arial-ItalicMT"/>
        </w:rPr>
        <w:t xml:space="preserve">on the contractual interpretation </w:t>
      </w:r>
      <w:r w:rsidR="000E214C" w:rsidRPr="00A56A56">
        <w:rPr>
          <w:rFonts w:ascii="Georgia" w:hAnsi="Georgia" w:cs="Arial-ItalicMT"/>
        </w:rPr>
        <w:t xml:space="preserve">point </w:t>
      </w:r>
      <w:r w:rsidR="00AC5CCA" w:rsidRPr="00A56A56">
        <w:rPr>
          <w:rFonts w:ascii="Georgia" w:hAnsi="Georgia" w:cs="Arial-ItalicMT"/>
        </w:rPr>
        <w:t>(ground 2), then the separate question of whether the costs were reasonable in terms of what they were incurred for</w:t>
      </w:r>
      <w:r w:rsidR="009573C7" w:rsidRPr="00A56A56">
        <w:rPr>
          <w:rFonts w:ascii="Georgia" w:hAnsi="Georgia" w:cs="Arial-ItalicMT"/>
        </w:rPr>
        <w:t xml:space="preserve">, </w:t>
      </w:r>
      <w:r w:rsidR="00AC5CCA" w:rsidRPr="00A56A56">
        <w:rPr>
          <w:rFonts w:ascii="Georgia" w:hAnsi="Georgia" w:cs="Arial-ItalicMT"/>
        </w:rPr>
        <w:t xml:space="preserve">and </w:t>
      </w:r>
      <w:r w:rsidR="00A25861" w:rsidRPr="00A56A56">
        <w:rPr>
          <w:rFonts w:ascii="Georgia" w:hAnsi="Georgia" w:cs="Arial-ItalicMT"/>
        </w:rPr>
        <w:t xml:space="preserve">their </w:t>
      </w:r>
      <w:r w:rsidR="00AC5CCA" w:rsidRPr="00A56A56">
        <w:rPr>
          <w:rFonts w:ascii="Georgia" w:hAnsi="Georgia" w:cs="Arial-ItalicMT"/>
        </w:rPr>
        <w:t>quantu</w:t>
      </w:r>
      <w:r w:rsidR="00A25861" w:rsidRPr="00A56A56">
        <w:rPr>
          <w:rFonts w:ascii="Georgia" w:hAnsi="Georgia" w:cs="Arial-ItalicMT"/>
        </w:rPr>
        <w:t>m, m</w:t>
      </w:r>
      <w:r w:rsidR="009573C7" w:rsidRPr="00A56A56">
        <w:rPr>
          <w:rFonts w:ascii="Georgia" w:hAnsi="Georgia" w:cs="Arial-ItalicMT"/>
        </w:rPr>
        <w:t xml:space="preserve">ay have to be </w:t>
      </w:r>
      <w:r w:rsidR="00AC5CCA" w:rsidRPr="00A56A56">
        <w:rPr>
          <w:rFonts w:ascii="Georgia" w:hAnsi="Georgia" w:cs="Arial-ItalicMT"/>
        </w:rPr>
        <w:t xml:space="preserve">remitted to </w:t>
      </w:r>
      <w:r w:rsidR="006E5287" w:rsidRPr="00A56A56">
        <w:rPr>
          <w:rFonts w:ascii="Georgia" w:hAnsi="Georgia" w:cs="Arial-ItalicMT"/>
        </w:rPr>
        <w:t>this</w:t>
      </w:r>
      <w:r w:rsidR="00AC5CCA" w:rsidRPr="00A56A56">
        <w:rPr>
          <w:rFonts w:ascii="Georgia" w:hAnsi="Georgia" w:cs="Arial-ItalicMT"/>
        </w:rPr>
        <w:t xml:space="preserve"> tribunal </w:t>
      </w:r>
      <w:r w:rsidR="00A56A56">
        <w:rPr>
          <w:rFonts w:ascii="Georgia" w:hAnsi="Georgia" w:cs="Arial-ItalicMT"/>
        </w:rPr>
        <w:t>for determination.</w:t>
      </w:r>
    </w:p>
    <w:p w14:paraId="479D406C" w14:textId="77777777" w:rsidR="00A56A56" w:rsidRPr="00A56A56" w:rsidRDefault="00A56A56" w:rsidP="00A56A56">
      <w:pPr>
        <w:pStyle w:val="ListParagraph"/>
        <w:rPr>
          <w:rFonts w:ascii="Georgia" w:hAnsi="Georgia" w:cs="Arial-ItalicMT"/>
        </w:rPr>
      </w:pPr>
    </w:p>
    <w:p w14:paraId="3E4C9F66" w14:textId="77777777" w:rsidR="002F7201" w:rsidRDefault="002F7201" w:rsidP="002F7201">
      <w:pPr>
        <w:autoSpaceDE w:val="0"/>
        <w:autoSpaceDN w:val="0"/>
        <w:adjustRightInd w:val="0"/>
        <w:ind w:left="360"/>
        <w:jc w:val="both"/>
        <w:rPr>
          <w:rFonts w:ascii="Georgia" w:hAnsi="Georgia" w:cs="Arial-ItalicMT"/>
          <w:u w:val="single"/>
        </w:rPr>
      </w:pPr>
      <w:bookmarkStart w:id="2" w:name="_GoBack"/>
      <w:bookmarkEnd w:id="2"/>
      <w:r>
        <w:rPr>
          <w:rFonts w:ascii="Georgia" w:hAnsi="Georgia" w:cs="Arial-ItalicMT"/>
          <w:u w:val="single"/>
        </w:rPr>
        <w:t xml:space="preserve">Ground Five - the Tribunal erred in fact in holding at paragraph 35 that before August 2016 insurance of the estate was arranged by the Landlords.  </w:t>
      </w:r>
    </w:p>
    <w:p w14:paraId="1C8BD018" w14:textId="77777777" w:rsidR="002F7201" w:rsidRDefault="002F7201" w:rsidP="002F7201">
      <w:pPr>
        <w:pStyle w:val="Default"/>
        <w:jc w:val="both"/>
        <w:rPr>
          <w:sz w:val="23"/>
          <w:szCs w:val="23"/>
        </w:rPr>
      </w:pPr>
    </w:p>
    <w:p w14:paraId="3ABAD97F" w14:textId="77777777" w:rsidR="002F7201" w:rsidRDefault="002F7201" w:rsidP="002F7201">
      <w:pPr>
        <w:pStyle w:val="ListParagraph"/>
        <w:numPr>
          <w:ilvl w:val="0"/>
          <w:numId w:val="15"/>
        </w:numPr>
        <w:autoSpaceDE w:val="0"/>
        <w:autoSpaceDN w:val="0"/>
        <w:adjustRightInd w:val="0"/>
        <w:spacing w:after="240"/>
        <w:jc w:val="both"/>
        <w:rPr>
          <w:rFonts w:ascii="Georgia" w:hAnsi="Georgia" w:cs="Arial-ItalicMT"/>
        </w:rPr>
      </w:pPr>
      <w:r>
        <w:rPr>
          <w:rFonts w:ascii="Georgia" w:hAnsi="Georgia" w:cs="Arial-ItalicMT"/>
        </w:rPr>
        <w:t xml:space="preserve">This ground has no realistic prospect of success. Regardless of whether the Landlords engaged WMS to assist them, it was the Landlords who were responsible for securing and placing the insurance. This is clear from the decision of the Deputy President in </w:t>
      </w:r>
      <w:r>
        <w:rPr>
          <w:rFonts w:ascii="Georgia" w:hAnsi="Georgia" w:cs="Arial-ItalicMT"/>
          <w:i/>
          <w:iCs/>
        </w:rPr>
        <w:t xml:space="preserve">Octagon Overseas Limited v Coates </w:t>
      </w:r>
      <w:r>
        <w:rPr>
          <w:rFonts w:ascii="Georgia" w:hAnsi="Georgia" w:cs="Arial-ItalicMT"/>
        </w:rPr>
        <w:t xml:space="preserve">[2017] UKUT 0190 (LC) [219], e.g. paras. 4, 6, 20, 21, 23, 29. </w:t>
      </w:r>
    </w:p>
    <w:p w14:paraId="2D36C07E" w14:textId="77777777" w:rsidR="002F7201" w:rsidRDefault="002F7201" w:rsidP="002F7201">
      <w:pPr>
        <w:autoSpaceDE w:val="0"/>
        <w:autoSpaceDN w:val="0"/>
        <w:adjustRightInd w:val="0"/>
        <w:jc w:val="both"/>
        <w:rPr>
          <w:rFonts w:ascii="Georgia" w:hAnsi="Georgia" w:cs="Arial-ItalicMT"/>
          <w:u w:val="single"/>
        </w:rPr>
      </w:pPr>
      <w:r>
        <w:rPr>
          <w:rFonts w:ascii="Georgia" w:hAnsi="Georgia" w:cs="Arial-ItalicMT"/>
          <w:u w:val="single"/>
        </w:rPr>
        <w:t xml:space="preserve">Ground Six - the Tribunal erred in law in holding at paragraph 88 that the service charge in respect of Insurance Premium Tax was irrecoverable. </w:t>
      </w:r>
    </w:p>
    <w:p w14:paraId="28837612" w14:textId="77777777" w:rsidR="002F7201" w:rsidRDefault="002F7201" w:rsidP="002F7201">
      <w:pPr>
        <w:pStyle w:val="Default"/>
        <w:ind w:left="360"/>
        <w:jc w:val="both"/>
        <w:rPr>
          <w:rFonts w:ascii="Georgia" w:hAnsi="Georgia" w:cs="Arial"/>
          <w:bCs/>
        </w:rPr>
      </w:pPr>
    </w:p>
    <w:p w14:paraId="56555147" w14:textId="77777777" w:rsidR="002F7201" w:rsidRDefault="002F7201" w:rsidP="002F7201">
      <w:pPr>
        <w:pStyle w:val="Default"/>
        <w:numPr>
          <w:ilvl w:val="0"/>
          <w:numId w:val="15"/>
        </w:numPr>
        <w:jc w:val="both"/>
        <w:rPr>
          <w:rFonts w:ascii="Georgia" w:hAnsi="Georgia" w:cs="Arial"/>
          <w:bCs/>
        </w:rPr>
      </w:pPr>
      <w:r>
        <w:rPr>
          <w:rFonts w:ascii="Georgia" w:hAnsi="Georgia" w:cs="Arial"/>
          <w:bCs/>
        </w:rPr>
        <w:t>This ground of appeal had no realistic prospect of success.  Our determination was the inevitable result of our conclusion that the underlying commission was irrevocable. If that conclusion is found by the Upper Tribunal to be incorrect then the issue of Insurance Premium Tax will need to be redecided, but that does not warrant us granting permission to appeal on this ground when there is evident no error of law in our decision.</w:t>
      </w:r>
    </w:p>
    <w:p w14:paraId="6C20D693" w14:textId="77777777" w:rsidR="002F7201" w:rsidRPr="008B0D91" w:rsidRDefault="002F7201" w:rsidP="00250326">
      <w:pPr>
        <w:spacing w:after="240"/>
        <w:rPr>
          <w:rFonts w:ascii="Georgia" w:hAnsi="Georgia" w:cs="Arial"/>
          <w:strike/>
        </w:rPr>
      </w:pPr>
    </w:p>
    <w:sectPr w:rsidR="002F7201" w:rsidRPr="008B0D91" w:rsidSect="00B52F77">
      <w:headerReference w:type="even" r:id="rId14"/>
      <w:footerReference w:type="even" r:id="rId15"/>
      <w:footerReference w:type="default" r:id="rId16"/>
      <w:footerReference w:type="first" r:id="rId17"/>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7E38" w14:textId="77777777" w:rsidR="007235EE" w:rsidRDefault="007235EE">
      <w:r>
        <w:separator/>
      </w:r>
    </w:p>
  </w:endnote>
  <w:endnote w:type="continuationSeparator" w:id="0">
    <w:p w14:paraId="78446BD5" w14:textId="77777777" w:rsidR="007235EE" w:rsidRDefault="0072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4E88" w14:textId="77777777" w:rsidR="00D43EAA" w:rsidRDefault="00D43EAA" w:rsidP="00A50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EA5C8" w14:textId="77777777" w:rsidR="00D43EAA" w:rsidRDefault="00D43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E8AD" w14:textId="1137B522" w:rsidR="00D43EAA" w:rsidRPr="00B52F77" w:rsidRDefault="00B52F77" w:rsidP="00B52F77">
    <w:pPr>
      <w:pStyle w:val="Footer"/>
      <w:jc w:val="center"/>
      <w:rPr>
        <w:rFonts w:ascii="Georgia" w:hAnsi="Georgia"/>
      </w:rPr>
    </w:pPr>
    <w:r w:rsidRPr="00B52F77">
      <w:rPr>
        <w:rStyle w:val="PageNumber"/>
        <w:rFonts w:ascii="Georgia" w:hAnsi="Georgia"/>
      </w:rPr>
      <w:fldChar w:fldCharType="begin"/>
    </w:r>
    <w:r w:rsidRPr="00B52F77">
      <w:rPr>
        <w:rStyle w:val="PageNumber"/>
        <w:rFonts w:ascii="Georgia" w:hAnsi="Georgia"/>
      </w:rPr>
      <w:instrText xml:space="preserve"> PAGE </w:instrText>
    </w:r>
    <w:r w:rsidRPr="00B52F77">
      <w:rPr>
        <w:rStyle w:val="PageNumber"/>
        <w:rFonts w:ascii="Georgia" w:hAnsi="Georgia"/>
      </w:rPr>
      <w:fldChar w:fldCharType="separate"/>
    </w:r>
    <w:r w:rsidR="006223B0">
      <w:rPr>
        <w:rStyle w:val="PageNumber"/>
        <w:rFonts w:ascii="Georgia" w:hAnsi="Georgia"/>
        <w:noProof/>
      </w:rPr>
      <w:t>2</w:t>
    </w:r>
    <w:r w:rsidRPr="00B52F77">
      <w:rPr>
        <w:rStyle w:val="PageNumber"/>
        <w:rFonts w:ascii="Georgia" w:hAnsi="Georg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ED7D" w14:textId="77777777" w:rsidR="00B52F77" w:rsidRPr="00DD3F0F" w:rsidRDefault="00547C8A" w:rsidP="00B52F77">
    <w:pPr>
      <w:pStyle w:val="Footer"/>
      <w:jc w:val="center"/>
      <w:rPr>
        <w:rFonts w:ascii="Georgia" w:hAnsi="Georgia"/>
        <w:sz w:val="20"/>
      </w:rPr>
    </w:pPr>
    <w:r>
      <w:rPr>
        <w:rFonts w:ascii="Georgia" w:hAnsi="Georgia"/>
        <w:sz w:val="20"/>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63D77" w14:textId="77777777" w:rsidR="007235EE" w:rsidRDefault="007235EE">
      <w:r>
        <w:separator/>
      </w:r>
    </w:p>
  </w:footnote>
  <w:footnote w:type="continuationSeparator" w:id="0">
    <w:p w14:paraId="02143E7D" w14:textId="77777777" w:rsidR="007235EE" w:rsidRDefault="0072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BA57" w14:textId="77777777" w:rsidR="00D43EAA" w:rsidRDefault="00D43EAA" w:rsidP="00A5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2778B" w14:textId="77777777" w:rsidR="00D43EAA" w:rsidRDefault="00D43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D3E"/>
    <w:multiLevelType w:val="hybridMultilevel"/>
    <w:tmpl w:val="62B8C4DA"/>
    <w:lvl w:ilvl="0" w:tplc="B0A8BA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7842ED"/>
    <w:multiLevelType w:val="hybridMultilevel"/>
    <w:tmpl w:val="307091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59394A"/>
    <w:multiLevelType w:val="hybridMultilevel"/>
    <w:tmpl w:val="839457A8"/>
    <w:lvl w:ilvl="0" w:tplc="761800B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767167"/>
    <w:multiLevelType w:val="hybridMultilevel"/>
    <w:tmpl w:val="781EA456"/>
    <w:lvl w:ilvl="0" w:tplc="CED8B392">
      <w:start w:val="1"/>
      <w:numFmt w:val="lowerRoman"/>
      <w:lvlText w:val="(%1)"/>
      <w:lvlJc w:val="left"/>
      <w:pPr>
        <w:tabs>
          <w:tab w:val="num" w:pos="1140"/>
        </w:tabs>
        <w:ind w:left="1140" w:hanging="72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 w15:restartNumberingAfterBreak="0">
    <w:nsid w:val="33D52F17"/>
    <w:multiLevelType w:val="hybridMultilevel"/>
    <w:tmpl w:val="FE0CB6C6"/>
    <w:name w:val="UnnamedList42696"/>
    <w:lvl w:ilvl="0" w:tplc="59FA2974">
      <w:start w:val="1"/>
      <w:numFmt w:val="decimal"/>
      <w:lvlText w:val="%1."/>
      <w:lvlJc w:val="left"/>
      <w:pPr>
        <w:ind w:left="360" w:hanging="360"/>
      </w:pPr>
      <w:rPr>
        <w:rFonts w:ascii="Georgia" w:hAnsi="Georgia" w:hint="default"/>
        <w:b w:val="0"/>
        <w:bCs w:val="0"/>
        <w:i w:val="0"/>
        <w:iCs w:val="0"/>
      </w:rPr>
    </w:lvl>
    <w:lvl w:ilvl="1" w:tplc="CEFEA1AA">
      <w:start w:val="1"/>
      <w:numFmt w:val="lowerLetter"/>
      <w:lvlText w:val="%2."/>
      <w:lvlJc w:val="left"/>
      <w:pPr>
        <w:ind w:left="1080" w:hanging="360"/>
      </w:pPr>
    </w:lvl>
    <w:lvl w:ilvl="2" w:tplc="73C6FA74">
      <w:start w:val="1"/>
      <w:numFmt w:val="lowerRoman"/>
      <w:lvlText w:val="%3."/>
      <w:lvlJc w:val="right"/>
      <w:pPr>
        <w:ind w:left="1800" w:hanging="180"/>
      </w:pPr>
    </w:lvl>
    <w:lvl w:ilvl="3" w:tplc="F412E7DC" w:tentative="1">
      <w:start w:val="1"/>
      <w:numFmt w:val="decimal"/>
      <w:lvlText w:val="%4."/>
      <w:lvlJc w:val="left"/>
      <w:pPr>
        <w:ind w:left="2520" w:hanging="360"/>
      </w:pPr>
    </w:lvl>
    <w:lvl w:ilvl="4" w:tplc="7350628C" w:tentative="1">
      <w:start w:val="1"/>
      <w:numFmt w:val="lowerLetter"/>
      <w:lvlText w:val="%5."/>
      <w:lvlJc w:val="left"/>
      <w:pPr>
        <w:ind w:left="3240" w:hanging="360"/>
      </w:pPr>
    </w:lvl>
    <w:lvl w:ilvl="5" w:tplc="12DA8F84" w:tentative="1">
      <w:start w:val="1"/>
      <w:numFmt w:val="lowerRoman"/>
      <w:lvlText w:val="%6."/>
      <w:lvlJc w:val="right"/>
      <w:pPr>
        <w:ind w:left="3960" w:hanging="180"/>
      </w:pPr>
    </w:lvl>
    <w:lvl w:ilvl="6" w:tplc="55DE9F50" w:tentative="1">
      <w:start w:val="1"/>
      <w:numFmt w:val="decimal"/>
      <w:lvlText w:val="%7."/>
      <w:lvlJc w:val="left"/>
      <w:pPr>
        <w:ind w:left="4680" w:hanging="360"/>
      </w:pPr>
    </w:lvl>
    <w:lvl w:ilvl="7" w:tplc="2DBC04AE" w:tentative="1">
      <w:start w:val="1"/>
      <w:numFmt w:val="lowerLetter"/>
      <w:lvlText w:val="%8."/>
      <w:lvlJc w:val="left"/>
      <w:pPr>
        <w:ind w:left="5400" w:hanging="360"/>
      </w:pPr>
    </w:lvl>
    <w:lvl w:ilvl="8" w:tplc="EA28AB14" w:tentative="1">
      <w:start w:val="1"/>
      <w:numFmt w:val="lowerRoman"/>
      <w:lvlText w:val="%9."/>
      <w:lvlJc w:val="right"/>
      <w:pPr>
        <w:ind w:left="6120" w:hanging="180"/>
      </w:pPr>
    </w:lvl>
  </w:abstractNum>
  <w:abstractNum w:abstractNumId="5" w15:restartNumberingAfterBreak="0">
    <w:nsid w:val="3B365354"/>
    <w:multiLevelType w:val="hybridMultilevel"/>
    <w:tmpl w:val="4E9C39F8"/>
    <w:lvl w:ilvl="0" w:tplc="3C588E08">
      <w:start w:val="1"/>
      <w:numFmt w:val="decimal"/>
      <w:lvlText w:val="%1."/>
      <w:lvlJc w:val="left"/>
      <w:pPr>
        <w:ind w:left="720" w:hanging="360"/>
      </w:pPr>
      <w:rPr>
        <w:rFonts w:cs="Arial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B6C63B2"/>
    <w:multiLevelType w:val="hybridMultilevel"/>
    <w:tmpl w:val="A8066726"/>
    <w:lvl w:ilvl="0" w:tplc="41CEEE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CF230D"/>
    <w:multiLevelType w:val="hybridMultilevel"/>
    <w:tmpl w:val="8D5A2BEC"/>
    <w:lvl w:ilvl="0" w:tplc="79182888">
      <w:start w:val="1"/>
      <w:numFmt w:val="decimal"/>
      <w:lvlText w:val="%1."/>
      <w:lvlJc w:val="left"/>
      <w:pPr>
        <w:tabs>
          <w:tab w:val="num" w:pos="720"/>
        </w:tabs>
        <w:ind w:left="720" w:hanging="360"/>
      </w:pPr>
      <w:rPr>
        <w:b w:val="0"/>
        <w:bCs w:val="0"/>
      </w:rPr>
    </w:lvl>
    <w:lvl w:ilvl="1" w:tplc="7EEA7E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A02535"/>
    <w:multiLevelType w:val="hybridMultilevel"/>
    <w:tmpl w:val="6F12A044"/>
    <w:lvl w:ilvl="0" w:tplc="8BFE1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6C0C33"/>
    <w:multiLevelType w:val="hybridMultilevel"/>
    <w:tmpl w:val="F386EEF8"/>
    <w:lvl w:ilvl="0" w:tplc="00C2769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F228C7"/>
    <w:multiLevelType w:val="hybridMultilevel"/>
    <w:tmpl w:val="2A4E6E72"/>
    <w:lvl w:ilvl="0" w:tplc="79DC4D1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FC049B"/>
    <w:multiLevelType w:val="hybridMultilevel"/>
    <w:tmpl w:val="4E9C39F8"/>
    <w:lvl w:ilvl="0" w:tplc="3C588E08">
      <w:start w:val="1"/>
      <w:numFmt w:val="decimal"/>
      <w:lvlText w:val="%1."/>
      <w:lvlJc w:val="left"/>
      <w:pPr>
        <w:ind w:left="720" w:hanging="360"/>
      </w:pPr>
      <w:rPr>
        <w:rFonts w:cs="ArialM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4BD78D0"/>
    <w:multiLevelType w:val="hybridMultilevel"/>
    <w:tmpl w:val="8BA0040E"/>
    <w:lvl w:ilvl="0" w:tplc="D5DE64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4E2D6E"/>
    <w:multiLevelType w:val="hybridMultilevel"/>
    <w:tmpl w:val="963874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DF5550"/>
    <w:multiLevelType w:val="hybridMultilevel"/>
    <w:tmpl w:val="F6A6ED1E"/>
    <w:lvl w:ilvl="0" w:tplc="C032F6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9"/>
  </w:num>
  <w:num w:numId="5">
    <w:abstractNumId w:val="3"/>
  </w:num>
  <w:num w:numId="6">
    <w:abstractNumId w:val="10"/>
  </w:num>
  <w:num w:numId="7">
    <w:abstractNumId w:val="2"/>
  </w:num>
  <w:num w:numId="8">
    <w:abstractNumId w:val="7"/>
  </w:num>
  <w:num w:numId="9">
    <w:abstractNumId w:val="14"/>
  </w:num>
  <w:num w:numId="10">
    <w:abstractNumId w:val="4"/>
  </w:num>
  <w:num w:numId="11">
    <w:abstractNumId w:val="8"/>
  </w:num>
  <w:num w:numId="12">
    <w:abstractNumId w:val="1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D2"/>
    <w:rsid w:val="000022A1"/>
    <w:rsid w:val="000046CE"/>
    <w:rsid w:val="00004EA1"/>
    <w:rsid w:val="00011F4E"/>
    <w:rsid w:val="000152DA"/>
    <w:rsid w:val="000249D7"/>
    <w:rsid w:val="0003239A"/>
    <w:rsid w:val="000329B0"/>
    <w:rsid w:val="000412F6"/>
    <w:rsid w:val="0004176D"/>
    <w:rsid w:val="000627F3"/>
    <w:rsid w:val="00065EE8"/>
    <w:rsid w:val="00066D76"/>
    <w:rsid w:val="0007500C"/>
    <w:rsid w:val="00076D2B"/>
    <w:rsid w:val="00077B52"/>
    <w:rsid w:val="00080B27"/>
    <w:rsid w:val="0009603D"/>
    <w:rsid w:val="000977F7"/>
    <w:rsid w:val="000A5F60"/>
    <w:rsid w:val="000B3EF5"/>
    <w:rsid w:val="000C03BD"/>
    <w:rsid w:val="000C1FCE"/>
    <w:rsid w:val="000C2BA6"/>
    <w:rsid w:val="000C473B"/>
    <w:rsid w:val="000C6F6A"/>
    <w:rsid w:val="000E214C"/>
    <w:rsid w:val="000E367C"/>
    <w:rsid w:val="00100E2E"/>
    <w:rsid w:val="00101897"/>
    <w:rsid w:val="0010537D"/>
    <w:rsid w:val="001065E7"/>
    <w:rsid w:val="00110111"/>
    <w:rsid w:val="00112D51"/>
    <w:rsid w:val="00116FC3"/>
    <w:rsid w:val="00121929"/>
    <w:rsid w:val="00123A2A"/>
    <w:rsid w:val="001264DA"/>
    <w:rsid w:val="0012759B"/>
    <w:rsid w:val="001301A8"/>
    <w:rsid w:val="00137E4A"/>
    <w:rsid w:val="001440AC"/>
    <w:rsid w:val="00155B56"/>
    <w:rsid w:val="00160A0C"/>
    <w:rsid w:val="001656E6"/>
    <w:rsid w:val="00167DD1"/>
    <w:rsid w:val="00170E7E"/>
    <w:rsid w:val="00172B2F"/>
    <w:rsid w:val="001765A8"/>
    <w:rsid w:val="00187C2A"/>
    <w:rsid w:val="00194960"/>
    <w:rsid w:val="001A3945"/>
    <w:rsid w:val="001A581F"/>
    <w:rsid w:val="001A7179"/>
    <w:rsid w:val="001B3B3A"/>
    <w:rsid w:val="001C00E8"/>
    <w:rsid w:val="001C0EA4"/>
    <w:rsid w:val="001C3B72"/>
    <w:rsid w:val="001C56B1"/>
    <w:rsid w:val="001D205B"/>
    <w:rsid w:val="0020000D"/>
    <w:rsid w:val="002034A5"/>
    <w:rsid w:val="0020435B"/>
    <w:rsid w:val="00205AC3"/>
    <w:rsid w:val="0021056A"/>
    <w:rsid w:val="00212647"/>
    <w:rsid w:val="00221D6F"/>
    <w:rsid w:val="002220DD"/>
    <w:rsid w:val="002260D0"/>
    <w:rsid w:val="002305AB"/>
    <w:rsid w:val="00233CBD"/>
    <w:rsid w:val="00250326"/>
    <w:rsid w:val="00250F37"/>
    <w:rsid w:val="00253775"/>
    <w:rsid w:val="00256636"/>
    <w:rsid w:val="00263296"/>
    <w:rsid w:val="00266804"/>
    <w:rsid w:val="00270A04"/>
    <w:rsid w:val="00275354"/>
    <w:rsid w:val="00277490"/>
    <w:rsid w:val="00277BA2"/>
    <w:rsid w:val="0028178D"/>
    <w:rsid w:val="00292006"/>
    <w:rsid w:val="00293447"/>
    <w:rsid w:val="00295837"/>
    <w:rsid w:val="002A5197"/>
    <w:rsid w:val="002A51B6"/>
    <w:rsid w:val="002C2FC2"/>
    <w:rsid w:val="002E01D0"/>
    <w:rsid w:val="002E261D"/>
    <w:rsid w:val="002E2780"/>
    <w:rsid w:val="002F4F1D"/>
    <w:rsid w:val="002F6EBC"/>
    <w:rsid w:val="002F7201"/>
    <w:rsid w:val="002F7518"/>
    <w:rsid w:val="003018FD"/>
    <w:rsid w:val="00303924"/>
    <w:rsid w:val="00313A34"/>
    <w:rsid w:val="0031546C"/>
    <w:rsid w:val="00320BF5"/>
    <w:rsid w:val="00321B44"/>
    <w:rsid w:val="003228B9"/>
    <w:rsid w:val="003270FE"/>
    <w:rsid w:val="003567E0"/>
    <w:rsid w:val="003678F1"/>
    <w:rsid w:val="00367F5C"/>
    <w:rsid w:val="00390C51"/>
    <w:rsid w:val="00390E53"/>
    <w:rsid w:val="00392EF0"/>
    <w:rsid w:val="003A412F"/>
    <w:rsid w:val="003B36A3"/>
    <w:rsid w:val="003B434A"/>
    <w:rsid w:val="003B6D11"/>
    <w:rsid w:val="003C710F"/>
    <w:rsid w:val="003D5971"/>
    <w:rsid w:val="003E0AD2"/>
    <w:rsid w:val="004046BF"/>
    <w:rsid w:val="00405832"/>
    <w:rsid w:val="00407F6A"/>
    <w:rsid w:val="00414737"/>
    <w:rsid w:val="004174EC"/>
    <w:rsid w:val="00427DF9"/>
    <w:rsid w:val="004304DB"/>
    <w:rsid w:val="004309B0"/>
    <w:rsid w:val="00431DBC"/>
    <w:rsid w:val="00433473"/>
    <w:rsid w:val="004535E9"/>
    <w:rsid w:val="00453C26"/>
    <w:rsid w:val="00461C3A"/>
    <w:rsid w:val="00465842"/>
    <w:rsid w:val="00470E65"/>
    <w:rsid w:val="00471F3C"/>
    <w:rsid w:val="00475856"/>
    <w:rsid w:val="0048028C"/>
    <w:rsid w:val="004952D8"/>
    <w:rsid w:val="004957D2"/>
    <w:rsid w:val="004A0FB6"/>
    <w:rsid w:val="004A515E"/>
    <w:rsid w:val="004B28DC"/>
    <w:rsid w:val="004B6D0D"/>
    <w:rsid w:val="004C024F"/>
    <w:rsid w:val="004D2402"/>
    <w:rsid w:val="004E041C"/>
    <w:rsid w:val="004E491F"/>
    <w:rsid w:val="004E5522"/>
    <w:rsid w:val="004E6613"/>
    <w:rsid w:val="004F16FA"/>
    <w:rsid w:val="004F2D36"/>
    <w:rsid w:val="00506CD9"/>
    <w:rsid w:val="00507E63"/>
    <w:rsid w:val="00507F56"/>
    <w:rsid w:val="005147E6"/>
    <w:rsid w:val="005178CF"/>
    <w:rsid w:val="005232FE"/>
    <w:rsid w:val="005259AD"/>
    <w:rsid w:val="00527CE6"/>
    <w:rsid w:val="00533D50"/>
    <w:rsid w:val="00545361"/>
    <w:rsid w:val="00545A41"/>
    <w:rsid w:val="00545E2E"/>
    <w:rsid w:val="00547C8A"/>
    <w:rsid w:val="00564FC6"/>
    <w:rsid w:val="00576906"/>
    <w:rsid w:val="00581D15"/>
    <w:rsid w:val="005B150E"/>
    <w:rsid w:val="005B5800"/>
    <w:rsid w:val="005E1DC9"/>
    <w:rsid w:val="005E500E"/>
    <w:rsid w:val="005E5AF7"/>
    <w:rsid w:val="005E7368"/>
    <w:rsid w:val="005F5C02"/>
    <w:rsid w:val="005F5DB3"/>
    <w:rsid w:val="006006D2"/>
    <w:rsid w:val="00601537"/>
    <w:rsid w:val="006058CD"/>
    <w:rsid w:val="0060599C"/>
    <w:rsid w:val="00607C78"/>
    <w:rsid w:val="006105FA"/>
    <w:rsid w:val="0061634F"/>
    <w:rsid w:val="0062001F"/>
    <w:rsid w:val="006223B0"/>
    <w:rsid w:val="006255E1"/>
    <w:rsid w:val="0063222D"/>
    <w:rsid w:val="006436A3"/>
    <w:rsid w:val="00647B8F"/>
    <w:rsid w:val="00652148"/>
    <w:rsid w:val="0065219E"/>
    <w:rsid w:val="006533FC"/>
    <w:rsid w:val="006604A4"/>
    <w:rsid w:val="00664BB9"/>
    <w:rsid w:val="00665B38"/>
    <w:rsid w:val="00671B07"/>
    <w:rsid w:val="00672404"/>
    <w:rsid w:val="0067360E"/>
    <w:rsid w:val="0067451B"/>
    <w:rsid w:val="00675238"/>
    <w:rsid w:val="006839B8"/>
    <w:rsid w:val="00693C79"/>
    <w:rsid w:val="00693D01"/>
    <w:rsid w:val="00693E00"/>
    <w:rsid w:val="00694C56"/>
    <w:rsid w:val="0069705F"/>
    <w:rsid w:val="006A42CF"/>
    <w:rsid w:val="006A70F0"/>
    <w:rsid w:val="006B02F9"/>
    <w:rsid w:val="006B5E69"/>
    <w:rsid w:val="006C7158"/>
    <w:rsid w:val="006E0806"/>
    <w:rsid w:val="006E1F59"/>
    <w:rsid w:val="006E30AE"/>
    <w:rsid w:val="006E4B86"/>
    <w:rsid w:val="006E5287"/>
    <w:rsid w:val="006F2FF8"/>
    <w:rsid w:val="00702920"/>
    <w:rsid w:val="00704134"/>
    <w:rsid w:val="00706BDC"/>
    <w:rsid w:val="00710275"/>
    <w:rsid w:val="00713631"/>
    <w:rsid w:val="00713D35"/>
    <w:rsid w:val="00715D6A"/>
    <w:rsid w:val="00722832"/>
    <w:rsid w:val="007235EE"/>
    <w:rsid w:val="00737E79"/>
    <w:rsid w:val="00761217"/>
    <w:rsid w:val="00761B54"/>
    <w:rsid w:val="00763485"/>
    <w:rsid w:val="00765496"/>
    <w:rsid w:val="007665D4"/>
    <w:rsid w:val="00771DD9"/>
    <w:rsid w:val="00784267"/>
    <w:rsid w:val="007843EB"/>
    <w:rsid w:val="00792562"/>
    <w:rsid w:val="007A6BDB"/>
    <w:rsid w:val="007B07CD"/>
    <w:rsid w:val="007B13CD"/>
    <w:rsid w:val="007C0224"/>
    <w:rsid w:val="007C22A4"/>
    <w:rsid w:val="007C3BD2"/>
    <w:rsid w:val="007D2C83"/>
    <w:rsid w:val="007E5E48"/>
    <w:rsid w:val="007F2B27"/>
    <w:rsid w:val="007F62F3"/>
    <w:rsid w:val="0080357A"/>
    <w:rsid w:val="00803A9B"/>
    <w:rsid w:val="00807E74"/>
    <w:rsid w:val="00820C7C"/>
    <w:rsid w:val="00827CF4"/>
    <w:rsid w:val="008325A6"/>
    <w:rsid w:val="00835F80"/>
    <w:rsid w:val="0083609C"/>
    <w:rsid w:val="0083681C"/>
    <w:rsid w:val="00846312"/>
    <w:rsid w:val="0086352A"/>
    <w:rsid w:val="00864528"/>
    <w:rsid w:val="00865267"/>
    <w:rsid w:val="008652DA"/>
    <w:rsid w:val="00866CF4"/>
    <w:rsid w:val="00867960"/>
    <w:rsid w:val="00867CA2"/>
    <w:rsid w:val="00871F1E"/>
    <w:rsid w:val="00875E24"/>
    <w:rsid w:val="008929C7"/>
    <w:rsid w:val="00892BD8"/>
    <w:rsid w:val="008971C9"/>
    <w:rsid w:val="008A0BDD"/>
    <w:rsid w:val="008A25EF"/>
    <w:rsid w:val="008A7A04"/>
    <w:rsid w:val="008B0D91"/>
    <w:rsid w:val="008C1E1E"/>
    <w:rsid w:val="008C3BD2"/>
    <w:rsid w:val="008D40E7"/>
    <w:rsid w:val="008D59E2"/>
    <w:rsid w:val="008D649F"/>
    <w:rsid w:val="008E7D4E"/>
    <w:rsid w:val="00900A47"/>
    <w:rsid w:val="00900D16"/>
    <w:rsid w:val="0090756A"/>
    <w:rsid w:val="00916022"/>
    <w:rsid w:val="009164D4"/>
    <w:rsid w:val="009167E8"/>
    <w:rsid w:val="00917B9C"/>
    <w:rsid w:val="00920828"/>
    <w:rsid w:val="0092356A"/>
    <w:rsid w:val="00941F23"/>
    <w:rsid w:val="0095181C"/>
    <w:rsid w:val="00954DCD"/>
    <w:rsid w:val="00955068"/>
    <w:rsid w:val="009564E2"/>
    <w:rsid w:val="009573C7"/>
    <w:rsid w:val="00963269"/>
    <w:rsid w:val="009651A2"/>
    <w:rsid w:val="00974AFD"/>
    <w:rsid w:val="00975750"/>
    <w:rsid w:val="00986BC9"/>
    <w:rsid w:val="00991AE3"/>
    <w:rsid w:val="00991F7D"/>
    <w:rsid w:val="009947D4"/>
    <w:rsid w:val="00997A03"/>
    <w:rsid w:val="009A28F5"/>
    <w:rsid w:val="009A4C14"/>
    <w:rsid w:val="009B6A67"/>
    <w:rsid w:val="009B78FF"/>
    <w:rsid w:val="009C2DC1"/>
    <w:rsid w:val="009C4BDE"/>
    <w:rsid w:val="009C4C42"/>
    <w:rsid w:val="009D0DD3"/>
    <w:rsid w:val="009D6092"/>
    <w:rsid w:val="009E0A28"/>
    <w:rsid w:val="009E3900"/>
    <w:rsid w:val="009F4589"/>
    <w:rsid w:val="009F6D31"/>
    <w:rsid w:val="00A02612"/>
    <w:rsid w:val="00A131E0"/>
    <w:rsid w:val="00A13BC1"/>
    <w:rsid w:val="00A15296"/>
    <w:rsid w:val="00A22CC3"/>
    <w:rsid w:val="00A25861"/>
    <w:rsid w:val="00A2613F"/>
    <w:rsid w:val="00A26F3B"/>
    <w:rsid w:val="00A30AA2"/>
    <w:rsid w:val="00A411E1"/>
    <w:rsid w:val="00A50057"/>
    <w:rsid w:val="00A5571D"/>
    <w:rsid w:val="00A56A56"/>
    <w:rsid w:val="00A72F70"/>
    <w:rsid w:val="00A752A4"/>
    <w:rsid w:val="00A753E1"/>
    <w:rsid w:val="00A81C8B"/>
    <w:rsid w:val="00A81F87"/>
    <w:rsid w:val="00AA0F95"/>
    <w:rsid w:val="00AB5FA9"/>
    <w:rsid w:val="00AC5CCA"/>
    <w:rsid w:val="00AD41C1"/>
    <w:rsid w:val="00AE04DA"/>
    <w:rsid w:val="00AE1455"/>
    <w:rsid w:val="00AF25D6"/>
    <w:rsid w:val="00AF2602"/>
    <w:rsid w:val="00B02636"/>
    <w:rsid w:val="00B058DE"/>
    <w:rsid w:val="00B068BC"/>
    <w:rsid w:val="00B115AA"/>
    <w:rsid w:val="00B16232"/>
    <w:rsid w:val="00B26F2C"/>
    <w:rsid w:val="00B52F77"/>
    <w:rsid w:val="00B53A92"/>
    <w:rsid w:val="00B55D7B"/>
    <w:rsid w:val="00B56BB0"/>
    <w:rsid w:val="00B60533"/>
    <w:rsid w:val="00B605F8"/>
    <w:rsid w:val="00B63D33"/>
    <w:rsid w:val="00B7431E"/>
    <w:rsid w:val="00B7466A"/>
    <w:rsid w:val="00B74925"/>
    <w:rsid w:val="00B76AAF"/>
    <w:rsid w:val="00B8030A"/>
    <w:rsid w:val="00B83900"/>
    <w:rsid w:val="00B84D5A"/>
    <w:rsid w:val="00B91151"/>
    <w:rsid w:val="00B9173C"/>
    <w:rsid w:val="00B9541B"/>
    <w:rsid w:val="00BA04FB"/>
    <w:rsid w:val="00BB0F31"/>
    <w:rsid w:val="00BC7B3C"/>
    <w:rsid w:val="00BD2641"/>
    <w:rsid w:val="00BE3B4D"/>
    <w:rsid w:val="00C0264A"/>
    <w:rsid w:val="00C06815"/>
    <w:rsid w:val="00C14A76"/>
    <w:rsid w:val="00C36848"/>
    <w:rsid w:val="00C403A2"/>
    <w:rsid w:val="00C41A52"/>
    <w:rsid w:val="00C44430"/>
    <w:rsid w:val="00C52440"/>
    <w:rsid w:val="00C56226"/>
    <w:rsid w:val="00C626FA"/>
    <w:rsid w:val="00C665EF"/>
    <w:rsid w:val="00C70BEF"/>
    <w:rsid w:val="00C86276"/>
    <w:rsid w:val="00C92076"/>
    <w:rsid w:val="00C948C9"/>
    <w:rsid w:val="00CA3351"/>
    <w:rsid w:val="00CA791A"/>
    <w:rsid w:val="00CB01FD"/>
    <w:rsid w:val="00CC48A8"/>
    <w:rsid w:val="00CC5D4F"/>
    <w:rsid w:val="00CC5D9A"/>
    <w:rsid w:val="00CD3CD2"/>
    <w:rsid w:val="00CD45E4"/>
    <w:rsid w:val="00CE19D6"/>
    <w:rsid w:val="00CE28B4"/>
    <w:rsid w:val="00CE4C48"/>
    <w:rsid w:val="00CF7D10"/>
    <w:rsid w:val="00D02B57"/>
    <w:rsid w:val="00D040EA"/>
    <w:rsid w:val="00D16430"/>
    <w:rsid w:val="00D16EC5"/>
    <w:rsid w:val="00D24C09"/>
    <w:rsid w:val="00D43EAA"/>
    <w:rsid w:val="00D47D90"/>
    <w:rsid w:val="00D57FB8"/>
    <w:rsid w:val="00D64162"/>
    <w:rsid w:val="00D66787"/>
    <w:rsid w:val="00D66BDB"/>
    <w:rsid w:val="00D8136B"/>
    <w:rsid w:val="00D874D0"/>
    <w:rsid w:val="00D9223E"/>
    <w:rsid w:val="00D93956"/>
    <w:rsid w:val="00DA5F03"/>
    <w:rsid w:val="00DB6AF2"/>
    <w:rsid w:val="00DC3161"/>
    <w:rsid w:val="00DC3771"/>
    <w:rsid w:val="00DC42C2"/>
    <w:rsid w:val="00DC7A2A"/>
    <w:rsid w:val="00DD2FCA"/>
    <w:rsid w:val="00DD3F0F"/>
    <w:rsid w:val="00DD44FB"/>
    <w:rsid w:val="00E1055E"/>
    <w:rsid w:val="00E14170"/>
    <w:rsid w:val="00E25AA0"/>
    <w:rsid w:val="00E54742"/>
    <w:rsid w:val="00E565B2"/>
    <w:rsid w:val="00E56F55"/>
    <w:rsid w:val="00E60054"/>
    <w:rsid w:val="00E63930"/>
    <w:rsid w:val="00E81A20"/>
    <w:rsid w:val="00E83C7C"/>
    <w:rsid w:val="00E84B94"/>
    <w:rsid w:val="00E8704D"/>
    <w:rsid w:val="00E8766E"/>
    <w:rsid w:val="00E94BF1"/>
    <w:rsid w:val="00E97492"/>
    <w:rsid w:val="00EA17DC"/>
    <w:rsid w:val="00EA1D4C"/>
    <w:rsid w:val="00EB3981"/>
    <w:rsid w:val="00EC09CD"/>
    <w:rsid w:val="00EC0F06"/>
    <w:rsid w:val="00EC221C"/>
    <w:rsid w:val="00EC3B56"/>
    <w:rsid w:val="00EC5FC5"/>
    <w:rsid w:val="00EC73EA"/>
    <w:rsid w:val="00ED4617"/>
    <w:rsid w:val="00EE482F"/>
    <w:rsid w:val="00EE6799"/>
    <w:rsid w:val="00EF2CD1"/>
    <w:rsid w:val="00EF5702"/>
    <w:rsid w:val="00F0183A"/>
    <w:rsid w:val="00F020CB"/>
    <w:rsid w:val="00F03DBC"/>
    <w:rsid w:val="00F1630B"/>
    <w:rsid w:val="00F163CD"/>
    <w:rsid w:val="00F1682A"/>
    <w:rsid w:val="00F17AAB"/>
    <w:rsid w:val="00F17CC8"/>
    <w:rsid w:val="00F22215"/>
    <w:rsid w:val="00F23FE6"/>
    <w:rsid w:val="00F3141C"/>
    <w:rsid w:val="00F333F3"/>
    <w:rsid w:val="00F35FC7"/>
    <w:rsid w:val="00F36578"/>
    <w:rsid w:val="00F430D0"/>
    <w:rsid w:val="00F4360A"/>
    <w:rsid w:val="00F45B33"/>
    <w:rsid w:val="00F51C0B"/>
    <w:rsid w:val="00F66056"/>
    <w:rsid w:val="00F663DB"/>
    <w:rsid w:val="00F710D0"/>
    <w:rsid w:val="00F72853"/>
    <w:rsid w:val="00F92ADE"/>
    <w:rsid w:val="00F9399B"/>
    <w:rsid w:val="00FA6A2C"/>
    <w:rsid w:val="00FA72B6"/>
    <w:rsid w:val="00FB00AA"/>
    <w:rsid w:val="00FB41A8"/>
    <w:rsid w:val="00FC1DF4"/>
    <w:rsid w:val="00FC2EC6"/>
    <w:rsid w:val="00FD1F86"/>
    <w:rsid w:val="00FD2240"/>
    <w:rsid w:val="00FE5BEB"/>
    <w:rsid w:val="00FF0D1F"/>
    <w:rsid w:val="00FF1854"/>
    <w:rsid w:val="045F9569"/>
    <w:rsid w:val="050F905D"/>
    <w:rsid w:val="22DED1C5"/>
    <w:rsid w:val="316112B4"/>
    <w:rsid w:val="3498B376"/>
    <w:rsid w:val="564F9094"/>
    <w:rsid w:val="71C4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A4E7033"/>
  <w15:chartTrackingRefBased/>
  <w15:docId w15:val="{08E2B4D1-0F37-488F-9558-68EEEBCC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43EAA"/>
    <w:pPr>
      <w:keepNext/>
      <w:jc w:val="center"/>
      <w:outlineLvl w:val="0"/>
    </w:pPr>
    <w:rPr>
      <w:rFonts w:ascii="Arial" w:hAnsi="Arial"/>
      <w:b/>
      <w:bCs/>
      <w:sz w:val="32"/>
      <w:lang w:eastAsia="en-US"/>
    </w:rPr>
  </w:style>
  <w:style w:type="paragraph" w:styleId="Heading3">
    <w:name w:val="heading 3"/>
    <w:basedOn w:val="Normal"/>
    <w:next w:val="Normal"/>
    <w:qFormat/>
    <w:rsid w:val="002503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EAA"/>
    <w:pPr>
      <w:jc w:val="center"/>
    </w:pPr>
    <w:rPr>
      <w:rFonts w:ascii="Arial" w:hAnsi="Arial"/>
      <w:b/>
      <w:bCs/>
      <w:sz w:val="32"/>
      <w:lang w:eastAsia="en-US"/>
    </w:rPr>
  </w:style>
  <w:style w:type="paragraph" w:styleId="Footer">
    <w:name w:val="footer"/>
    <w:basedOn w:val="Normal"/>
    <w:rsid w:val="00D43EAA"/>
    <w:pPr>
      <w:tabs>
        <w:tab w:val="center" w:pos="4153"/>
        <w:tab w:val="right" w:pos="8306"/>
      </w:tabs>
    </w:pPr>
    <w:rPr>
      <w:spacing w:val="-3"/>
      <w:szCs w:val="20"/>
      <w:lang w:eastAsia="en-US"/>
    </w:rPr>
  </w:style>
  <w:style w:type="paragraph" w:styleId="Header">
    <w:name w:val="header"/>
    <w:basedOn w:val="Normal"/>
    <w:rsid w:val="00D43EAA"/>
    <w:pPr>
      <w:tabs>
        <w:tab w:val="center" w:pos="4153"/>
        <w:tab w:val="right" w:pos="8306"/>
      </w:tabs>
    </w:pPr>
  </w:style>
  <w:style w:type="character" w:styleId="PageNumber">
    <w:name w:val="page number"/>
    <w:basedOn w:val="DefaultParagraphFont"/>
    <w:rsid w:val="00D43EAA"/>
  </w:style>
  <w:style w:type="table" w:styleId="TableGrid">
    <w:name w:val="Table Grid"/>
    <w:basedOn w:val="TableNormal"/>
    <w:rsid w:val="00B5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B52F77"/>
    <w:pPr>
      <w:spacing w:after="160" w:line="240" w:lineRule="exact"/>
    </w:pPr>
    <w:rPr>
      <w:rFonts w:ascii="Verdana" w:hAnsi="Verdana"/>
      <w:sz w:val="20"/>
      <w:szCs w:val="20"/>
      <w:lang w:val="en-US" w:eastAsia="en-US"/>
    </w:rPr>
  </w:style>
  <w:style w:type="paragraph" w:styleId="BalloonText">
    <w:name w:val="Balloon Text"/>
    <w:basedOn w:val="Normal"/>
    <w:semiHidden/>
    <w:rsid w:val="00FA6A2C"/>
    <w:rPr>
      <w:rFonts w:ascii="Tahoma" w:hAnsi="Tahoma" w:cs="Tahoma"/>
      <w:sz w:val="16"/>
      <w:szCs w:val="16"/>
    </w:rPr>
  </w:style>
  <w:style w:type="character" w:customStyle="1" w:styleId="legdslegp1grouptitlefirst">
    <w:name w:val="legds legp1grouptitlefirst"/>
    <w:basedOn w:val="DefaultParagraphFont"/>
    <w:rsid w:val="00321B44"/>
  </w:style>
  <w:style w:type="character" w:styleId="Hyperlink">
    <w:name w:val="Hyperlink"/>
    <w:basedOn w:val="DefaultParagraphFont"/>
    <w:uiPriority w:val="99"/>
    <w:unhideWhenUsed/>
    <w:rsid w:val="00B16232"/>
    <w:rPr>
      <w:color w:val="0563C1"/>
      <w:u w:val="single"/>
    </w:rPr>
  </w:style>
  <w:style w:type="paragraph" w:styleId="ListParagraph">
    <w:name w:val="List Paragraph"/>
    <w:basedOn w:val="Normal"/>
    <w:uiPriority w:val="34"/>
    <w:qFormat/>
    <w:rsid w:val="003678F1"/>
    <w:pPr>
      <w:ind w:left="720"/>
      <w:contextualSpacing/>
    </w:pPr>
  </w:style>
  <w:style w:type="paragraph" w:customStyle="1" w:styleId="FormTitle">
    <w:name w:val="Form Title"/>
    <w:basedOn w:val="Normal"/>
    <w:rsid w:val="00405832"/>
    <w:pPr>
      <w:keepNext/>
      <w:pageBreakBefore/>
      <w:spacing w:before="600" w:after="120" w:line="360" w:lineRule="auto"/>
    </w:pPr>
    <w:rPr>
      <w:b/>
    </w:rPr>
  </w:style>
  <w:style w:type="paragraph" w:customStyle="1" w:styleId="Default">
    <w:name w:val="Default"/>
    <w:rsid w:val="002F7201"/>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4918">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43573720">
      <w:bodyDiv w:val="1"/>
      <w:marLeft w:val="0"/>
      <w:marRight w:val="0"/>
      <w:marTop w:val="0"/>
      <w:marBottom w:val="0"/>
      <w:divBdr>
        <w:top w:val="none" w:sz="0" w:space="0" w:color="auto"/>
        <w:left w:val="none" w:sz="0" w:space="0" w:color="auto"/>
        <w:bottom w:val="none" w:sz="0" w:space="0" w:color="auto"/>
        <w:right w:val="none" w:sz="0" w:space="0" w:color="auto"/>
      </w:divBdr>
      <w:divsChild>
        <w:div w:id="773743818">
          <w:marLeft w:val="0"/>
          <w:marRight w:val="0"/>
          <w:marTop w:val="0"/>
          <w:marBottom w:val="0"/>
          <w:divBdr>
            <w:top w:val="none" w:sz="0" w:space="0" w:color="auto"/>
            <w:left w:val="none" w:sz="0" w:space="0" w:color="auto"/>
            <w:bottom w:val="none" w:sz="0" w:space="0" w:color="auto"/>
            <w:right w:val="none" w:sz="0" w:space="0" w:color="auto"/>
          </w:divBdr>
          <w:divsChild>
            <w:div w:id="550000500">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769198847">
      <w:bodyDiv w:val="1"/>
      <w:marLeft w:val="0"/>
      <w:marRight w:val="0"/>
      <w:marTop w:val="0"/>
      <w:marBottom w:val="0"/>
      <w:divBdr>
        <w:top w:val="none" w:sz="0" w:space="0" w:color="auto"/>
        <w:left w:val="none" w:sz="0" w:space="0" w:color="auto"/>
        <w:bottom w:val="none" w:sz="0" w:space="0" w:color="auto"/>
        <w:right w:val="none" w:sz="0" w:space="0" w:color="auto"/>
      </w:divBdr>
    </w:div>
    <w:div w:id="21295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s@justic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diciary.uk/wp-content/uploads/2021/07/Practice-Note-on-CE-filing-Lands-Chamber-17.6.21_.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F9D52D4784644B14DBF56B0C4FA25" ma:contentTypeVersion="13" ma:contentTypeDescription="Create a new document." ma:contentTypeScope="" ma:versionID="eb72d81ab9e3d07e9893b4bf4555d86b">
  <xsd:schema xmlns:xsd="http://www.w3.org/2001/XMLSchema" xmlns:xs="http://www.w3.org/2001/XMLSchema" xmlns:p="http://schemas.microsoft.com/office/2006/metadata/properties" xmlns:ns3="a9a97a67-854b-49ed-943e-124d2b751306" xmlns:ns4="ae78718a-8be0-4f08-863f-37cfcab558f5" targetNamespace="http://schemas.microsoft.com/office/2006/metadata/properties" ma:root="true" ma:fieldsID="37d5765dae9f20c3d1fa7b3f2748f511" ns3:_="" ns4:_="">
    <xsd:import namespace="a9a97a67-854b-49ed-943e-124d2b751306"/>
    <xsd:import namespace="ae78718a-8be0-4f08-863f-37cfcab558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7a67-854b-49ed-943e-124d2b7513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8718a-8be0-4f08-863f-37cfcab558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16CA9-24BC-40DA-B06B-627BDAF9E707}">
  <ds:schemaRefs>
    <ds:schemaRef ds:uri="http://schemas.microsoft.com/office/2006/documentManagement/types"/>
    <ds:schemaRef ds:uri="http://schemas.microsoft.com/office/infopath/2007/PartnerControls"/>
    <ds:schemaRef ds:uri="ae78718a-8be0-4f08-863f-37cfcab558f5"/>
    <ds:schemaRef ds:uri="http://purl.org/dc/elements/1.1/"/>
    <ds:schemaRef ds:uri="http://schemas.microsoft.com/office/2006/metadata/properties"/>
    <ds:schemaRef ds:uri="a9a97a67-854b-49ed-943e-124d2b75130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64EA55-8F05-47F1-8EF5-E46A30756F3B}">
  <ds:schemaRefs>
    <ds:schemaRef ds:uri="http://schemas.microsoft.com/office/2006/metadata/longProperties"/>
  </ds:schemaRefs>
</ds:datastoreItem>
</file>

<file path=customXml/itemProps3.xml><?xml version="1.0" encoding="utf-8"?>
<ds:datastoreItem xmlns:ds="http://schemas.openxmlformats.org/officeDocument/2006/customXml" ds:itemID="{61D1A75C-3940-44BB-8BB5-373B1E43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7a67-854b-49ed-943e-124d2b751306"/>
    <ds:schemaRef ds:uri="ae78718a-8be0-4f08-863f-37cfcab55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6355D-8EBF-4AFC-B091-AE784CA40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2267</Words>
  <Characters>11799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phu95p</dc:creator>
  <cp:keywords/>
  <dc:description/>
  <cp:lastModifiedBy>Vance, Dep Reg Tribunal Judge Amran</cp:lastModifiedBy>
  <cp:revision>38</cp:revision>
  <cp:lastPrinted>2016-02-19T15:04:00Z</cp:lastPrinted>
  <dcterms:created xsi:type="dcterms:W3CDTF">2023-02-13T15:37:00Z</dcterms:created>
  <dcterms:modified xsi:type="dcterms:W3CDTF">2023-02-13T16:22:00Z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Vance, Deputy Regional Tribunal Judge Amran</vt:lpwstr>
  </property>
  <property fmtid="{D5CDD505-2E9C-101B-9397-08002B2CF9AE}" pid="3" name="display_urn:schemas-microsoft-com:office:office#Author">
    <vt:lpwstr>Vance, Deputy Regional Tribunal Judge Amran</vt:lpwstr>
  </property>
  <property fmtid="{D5CDD505-2E9C-101B-9397-08002B2CF9AE}" pid="4" name="Order">
    <vt:lpwstr>167900.000000000</vt:lpwstr>
  </property>
  <property fmtid="{D5CDD505-2E9C-101B-9397-08002B2CF9AE}" pid="5" name="ComplianceAssetId">
    <vt:lpwstr/>
  </property>
  <property fmtid="{D5CDD505-2E9C-101B-9397-08002B2CF9AE}" pid="6" name="ContentTypeId">
    <vt:lpwstr>0x010100A01F9D52D4784644B14DBF56B0C4FA25</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ies>
</file>